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F921E" w14:textId="150035D3" w:rsidR="004B4E2E" w:rsidRPr="00651324" w:rsidRDefault="004A63DE" w:rsidP="006D10BA">
      <w:pPr>
        <w:pBdr>
          <w:bottom w:val="single" w:sz="6" w:space="1" w:color="auto"/>
        </w:pBdr>
        <w:spacing w:beforeLines="100" w:before="240" w:afterLines="100" w:after="240" w:line="360" w:lineRule="auto"/>
        <w:rPr>
          <w:rFonts w:asciiTheme="majorHAnsi" w:hAnsiTheme="majorHAnsi" w:cstheme="majorHAnsi"/>
          <w:b/>
          <w:color w:val="000000" w:themeColor="text1"/>
          <w:sz w:val="24"/>
          <w:szCs w:val="24"/>
        </w:rPr>
      </w:pPr>
      <w:r w:rsidRPr="00651324">
        <w:rPr>
          <w:rFonts w:asciiTheme="majorHAnsi" w:hAnsiTheme="majorHAnsi" w:cstheme="majorHAnsi"/>
          <w:b/>
          <w:color w:val="000000" w:themeColor="text1"/>
          <w:sz w:val="24"/>
          <w:szCs w:val="24"/>
        </w:rPr>
        <w:t>Abstracts for podium presentations</w:t>
      </w:r>
    </w:p>
    <w:p w14:paraId="1660B306" w14:textId="77777777" w:rsidR="004A63DE" w:rsidRPr="004A63DE" w:rsidRDefault="004A63DE" w:rsidP="006D10BA">
      <w:pPr>
        <w:spacing w:beforeLines="100" w:before="240" w:afterLines="100" w:after="240" w:line="360" w:lineRule="auto"/>
        <w:rPr>
          <w:rFonts w:asciiTheme="majorHAnsi" w:hAnsiTheme="majorHAnsi" w:cstheme="majorHAnsi"/>
          <w:b/>
          <w:color w:val="000000" w:themeColor="text1"/>
          <w:sz w:val="28"/>
          <w:szCs w:val="28"/>
        </w:rPr>
      </w:pPr>
    </w:p>
    <w:p w14:paraId="773D5CDA" w14:textId="09A40B50" w:rsidR="004A63DE" w:rsidRPr="00707A72" w:rsidRDefault="0051209F" w:rsidP="006D10BA">
      <w:pPr>
        <w:spacing w:beforeLines="100" w:before="240" w:afterLines="100" w:after="240" w:line="360" w:lineRule="auto"/>
        <w:rPr>
          <w:rFonts w:cstheme="minorHAnsi"/>
          <w:b/>
          <w:bCs/>
          <w:color w:val="000000" w:themeColor="text1"/>
          <w:sz w:val="20"/>
          <w:szCs w:val="20"/>
        </w:rPr>
      </w:pPr>
      <w:r w:rsidRPr="00707A72">
        <w:rPr>
          <w:rFonts w:cstheme="minorHAnsi"/>
          <w:b/>
          <w:bCs/>
          <w:color w:val="000000" w:themeColor="text1"/>
          <w:sz w:val="20"/>
          <w:szCs w:val="20"/>
        </w:rPr>
        <w:t>Assessing the Quality and Readability of Online Information Regarding Facial Nerve Palsy</w:t>
      </w:r>
      <w:r w:rsidR="004A63DE" w:rsidRPr="00707A72">
        <w:rPr>
          <w:rFonts w:cstheme="minorHAnsi"/>
          <w:b/>
          <w:bCs/>
          <w:color w:val="000000" w:themeColor="text1"/>
          <w:sz w:val="20"/>
          <w:szCs w:val="20"/>
        </w:rPr>
        <w:br/>
      </w:r>
      <w:r w:rsidR="004A63DE" w:rsidRPr="00707A72">
        <w:rPr>
          <w:rFonts w:cstheme="minorHAnsi"/>
          <w:b/>
          <w:bCs/>
          <w:color w:val="000000" w:themeColor="text1"/>
          <w:sz w:val="20"/>
          <w:szCs w:val="20"/>
        </w:rPr>
        <w:t>Carissa Jacobs</w:t>
      </w:r>
      <w:r w:rsidR="004A63DE" w:rsidRPr="00707A72">
        <w:rPr>
          <w:rFonts w:cstheme="minorHAnsi"/>
          <w:b/>
          <w:bCs/>
          <w:color w:val="000000" w:themeColor="text1"/>
          <w:sz w:val="20"/>
          <w:szCs w:val="20"/>
        </w:rPr>
        <w:t xml:space="preserve">, </w:t>
      </w:r>
      <w:r w:rsidR="004A63DE" w:rsidRPr="00707A72">
        <w:rPr>
          <w:rFonts w:cstheme="minorHAnsi"/>
          <w:b/>
          <w:bCs/>
          <w:color w:val="000000" w:themeColor="text1"/>
          <w:sz w:val="20"/>
          <w:szCs w:val="20"/>
        </w:rPr>
        <w:t>Medical Student</w:t>
      </w:r>
      <w:r w:rsidR="004A63DE" w:rsidRPr="00707A72">
        <w:rPr>
          <w:rFonts w:cstheme="minorHAnsi"/>
          <w:b/>
          <w:bCs/>
          <w:color w:val="000000" w:themeColor="text1"/>
          <w:sz w:val="20"/>
          <w:szCs w:val="20"/>
        </w:rPr>
        <w:br/>
      </w:r>
      <w:r w:rsidR="004A63DE" w:rsidRPr="00707A72">
        <w:rPr>
          <w:rFonts w:cstheme="minorHAnsi"/>
          <w:b/>
          <w:bCs/>
          <w:color w:val="000000" w:themeColor="text1"/>
          <w:sz w:val="20"/>
          <w:szCs w:val="20"/>
        </w:rPr>
        <w:t>University of Manchester Medical School</w:t>
      </w:r>
    </w:p>
    <w:p w14:paraId="661E73CC" w14:textId="77777777" w:rsidR="00707A72" w:rsidRDefault="00707A72" w:rsidP="006D10BA">
      <w:pPr>
        <w:spacing w:beforeLines="100" w:before="240" w:afterLines="100" w:after="240" w:line="360" w:lineRule="auto"/>
        <w:jc w:val="both"/>
        <w:rPr>
          <w:rFonts w:eastAsia="Calibri" w:cstheme="minorHAnsi"/>
          <w:b/>
          <w:color w:val="000000"/>
          <w:sz w:val="20"/>
          <w:szCs w:val="20"/>
          <w:lang w:val="en-GB" w:eastAsia="en-US"/>
        </w:rPr>
      </w:pPr>
    </w:p>
    <w:p w14:paraId="1A1332C8" w14:textId="4067B884" w:rsidR="006D10BA" w:rsidRPr="00707A72" w:rsidRDefault="006D10BA" w:rsidP="006D10BA">
      <w:pPr>
        <w:spacing w:beforeLines="100" w:before="240" w:afterLines="100" w:after="240" w:line="360" w:lineRule="auto"/>
        <w:jc w:val="both"/>
        <w:rPr>
          <w:rFonts w:eastAsia="Calibri" w:cstheme="minorHAnsi"/>
          <w:b/>
          <w:color w:val="000000"/>
          <w:sz w:val="20"/>
          <w:szCs w:val="20"/>
          <w:lang w:val="en-GB" w:eastAsia="en-US"/>
        </w:rPr>
      </w:pPr>
      <w:r w:rsidRPr="00707A72">
        <w:rPr>
          <w:rFonts w:eastAsia="Calibri" w:cstheme="minorHAnsi"/>
          <w:b/>
          <w:color w:val="000000"/>
          <w:sz w:val="20"/>
          <w:szCs w:val="20"/>
          <w:lang w:val="en-GB" w:eastAsia="en-US"/>
        </w:rPr>
        <w:t>Aim</w:t>
      </w:r>
      <w:r w:rsidR="004A63DE" w:rsidRPr="00707A72">
        <w:rPr>
          <w:rFonts w:eastAsia="Calibri" w:cstheme="minorHAnsi"/>
          <w:b/>
          <w:color w:val="000000"/>
          <w:sz w:val="20"/>
          <w:szCs w:val="20"/>
          <w:lang w:val="en-GB" w:eastAsia="en-US"/>
        </w:rPr>
        <w:t xml:space="preserve">: </w:t>
      </w:r>
      <w:r w:rsidRPr="00707A72">
        <w:rPr>
          <w:rFonts w:eastAsia="Calibri" w:cstheme="minorHAnsi"/>
          <w:color w:val="000000"/>
          <w:sz w:val="20"/>
          <w:szCs w:val="20"/>
          <w:lang w:val="en-GB" w:eastAsia="en-US"/>
        </w:rPr>
        <w:t>To objectively determine the quality and readability of online information regarding facial nerve palsy.</w:t>
      </w:r>
    </w:p>
    <w:p w14:paraId="56D31CE8" w14:textId="77777777" w:rsidR="00707A72" w:rsidRDefault="00707A72" w:rsidP="006D10BA">
      <w:pPr>
        <w:spacing w:beforeLines="100" w:before="240" w:afterLines="100" w:after="240" w:line="360" w:lineRule="auto"/>
        <w:jc w:val="both"/>
        <w:rPr>
          <w:rFonts w:eastAsia="Calibri" w:cstheme="minorHAnsi"/>
          <w:b/>
          <w:color w:val="000000"/>
          <w:sz w:val="20"/>
          <w:szCs w:val="20"/>
          <w:lang w:val="en-GB" w:eastAsia="en-US"/>
        </w:rPr>
      </w:pPr>
    </w:p>
    <w:p w14:paraId="445E2DC5" w14:textId="7BBCE7B6" w:rsidR="006D10BA" w:rsidRPr="00707A72" w:rsidRDefault="006D10BA" w:rsidP="006D10BA">
      <w:pPr>
        <w:spacing w:beforeLines="100" w:before="240" w:afterLines="100" w:after="240" w:line="360" w:lineRule="auto"/>
        <w:jc w:val="both"/>
        <w:rPr>
          <w:rFonts w:eastAsia="Calibri" w:cstheme="minorHAnsi"/>
          <w:color w:val="000000"/>
          <w:sz w:val="20"/>
          <w:szCs w:val="20"/>
          <w:lang w:val="en-GB" w:eastAsia="en-US"/>
        </w:rPr>
      </w:pPr>
      <w:r w:rsidRPr="00707A72">
        <w:rPr>
          <w:rFonts w:eastAsia="Calibri" w:cstheme="minorHAnsi"/>
          <w:b/>
          <w:color w:val="000000"/>
          <w:sz w:val="20"/>
          <w:szCs w:val="20"/>
          <w:lang w:val="en-GB" w:eastAsia="en-US"/>
        </w:rPr>
        <w:t>Introduction</w:t>
      </w:r>
      <w:r w:rsidR="004A63DE" w:rsidRPr="00707A72">
        <w:rPr>
          <w:rFonts w:eastAsia="Calibri" w:cstheme="minorHAnsi"/>
          <w:b/>
          <w:color w:val="000000"/>
          <w:sz w:val="20"/>
          <w:szCs w:val="20"/>
          <w:lang w:val="en-GB" w:eastAsia="en-US"/>
        </w:rPr>
        <w:t>:</w:t>
      </w:r>
      <w:r w:rsidRPr="00707A72">
        <w:rPr>
          <w:rFonts w:eastAsia="Calibri" w:cstheme="minorHAnsi"/>
          <w:b/>
          <w:color w:val="000000"/>
          <w:sz w:val="20"/>
          <w:szCs w:val="20"/>
          <w:lang w:val="en-GB" w:eastAsia="en-US"/>
        </w:rPr>
        <w:t xml:space="preserve"> </w:t>
      </w:r>
      <w:r w:rsidRPr="00707A72">
        <w:rPr>
          <w:rFonts w:eastAsia="Calibri" w:cstheme="minorHAnsi"/>
          <w:color w:val="000000"/>
          <w:sz w:val="20"/>
          <w:szCs w:val="20"/>
          <w:lang w:val="en-GB" w:eastAsia="en-US"/>
        </w:rPr>
        <w:t>Patients are increasingly taking to the internet for information regarding their diagnosis. The quality and readability of information is often a concern for clinicians and may lead to patient misunderstanding about their condition. The facial nerve is the most frequently injured cranial nerve and is thought to leave 5% of these patients</w:t>
      </w:r>
      <w:r w:rsidR="00707A72">
        <w:rPr>
          <w:rFonts w:eastAsia="Calibri" w:cstheme="minorHAnsi"/>
          <w:color w:val="000000"/>
          <w:sz w:val="20"/>
          <w:szCs w:val="20"/>
          <w:lang w:val="en-GB" w:eastAsia="en-US"/>
        </w:rPr>
        <w:t xml:space="preserve"> </w:t>
      </w:r>
      <w:r w:rsidRPr="00707A72">
        <w:rPr>
          <w:rFonts w:eastAsia="Calibri" w:cstheme="minorHAnsi"/>
          <w:color w:val="000000"/>
          <w:sz w:val="20"/>
          <w:szCs w:val="20"/>
          <w:lang w:val="en-GB" w:eastAsia="en-US"/>
        </w:rPr>
        <w:t>with facial nerve palsy.</w:t>
      </w:r>
    </w:p>
    <w:p w14:paraId="6BF4D1C6" w14:textId="77777777" w:rsidR="00707A72" w:rsidRDefault="00707A72" w:rsidP="006D10BA">
      <w:pPr>
        <w:spacing w:beforeLines="100" w:before="240" w:afterLines="100" w:after="240" w:line="360" w:lineRule="auto"/>
        <w:jc w:val="both"/>
        <w:rPr>
          <w:rFonts w:eastAsia="Calibri" w:cstheme="minorHAnsi"/>
          <w:b/>
          <w:color w:val="000000"/>
          <w:sz w:val="20"/>
          <w:szCs w:val="20"/>
          <w:lang w:val="en-GB" w:eastAsia="en-US"/>
        </w:rPr>
      </w:pPr>
    </w:p>
    <w:p w14:paraId="0CD3734D" w14:textId="19123E82" w:rsidR="006D10BA" w:rsidRPr="00707A72" w:rsidRDefault="006D10BA" w:rsidP="006D10BA">
      <w:pPr>
        <w:spacing w:beforeLines="100" w:before="240" w:afterLines="100" w:after="240" w:line="360" w:lineRule="auto"/>
        <w:jc w:val="both"/>
        <w:rPr>
          <w:rFonts w:eastAsia="Calibri" w:cstheme="minorHAnsi"/>
          <w:b/>
          <w:color w:val="000000"/>
          <w:sz w:val="20"/>
          <w:szCs w:val="20"/>
          <w:lang w:val="en-GB" w:eastAsia="en-US"/>
        </w:rPr>
      </w:pPr>
      <w:r w:rsidRPr="00707A72">
        <w:rPr>
          <w:rFonts w:eastAsia="Calibri" w:cstheme="minorHAnsi"/>
          <w:b/>
          <w:color w:val="000000"/>
          <w:sz w:val="20"/>
          <w:szCs w:val="20"/>
          <w:lang w:val="en-GB" w:eastAsia="en-US"/>
        </w:rPr>
        <w:t>Methods</w:t>
      </w:r>
      <w:r w:rsidR="004A63DE" w:rsidRPr="00707A72">
        <w:rPr>
          <w:rFonts w:eastAsia="Calibri" w:cstheme="minorHAnsi"/>
          <w:b/>
          <w:color w:val="000000"/>
          <w:sz w:val="20"/>
          <w:szCs w:val="20"/>
          <w:lang w:val="en-GB" w:eastAsia="en-US"/>
        </w:rPr>
        <w:t>:</w:t>
      </w:r>
      <w:r w:rsidRPr="00707A72">
        <w:rPr>
          <w:rFonts w:eastAsia="Calibri" w:cstheme="minorHAnsi"/>
          <w:b/>
          <w:color w:val="000000"/>
          <w:sz w:val="20"/>
          <w:szCs w:val="20"/>
          <w:lang w:val="en-GB" w:eastAsia="en-US"/>
        </w:rPr>
        <w:t xml:space="preserve"> </w:t>
      </w:r>
      <w:r w:rsidRPr="00707A72">
        <w:rPr>
          <w:rFonts w:eastAsia="Calibri" w:cstheme="minorHAnsi"/>
          <w:color w:val="000000"/>
          <w:sz w:val="20"/>
          <w:szCs w:val="20"/>
          <w:lang w:val="en-GB" w:eastAsia="en-US"/>
        </w:rPr>
        <w:t>An internet search for “facial nerve palsy” and “facial nerve paralysis” was conducted using Google, Bing and Yahoo. To minimise bias, the top 300 results were examined. Quality was assessed using the DISCERN tool. Readability was assessed using the Gunning-Fog Index and the Flesch-Kincaid readability tests.</w:t>
      </w:r>
    </w:p>
    <w:p w14:paraId="3B63CFEE" w14:textId="77777777" w:rsidR="00707A72" w:rsidRDefault="00707A72" w:rsidP="006D10BA">
      <w:pPr>
        <w:spacing w:beforeLines="100" w:before="240" w:afterLines="100" w:after="240" w:line="360" w:lineRule="auto"/>
        <w:jc w:val="both"/>
        <w:rPr>
          <w:rFonts w:eastAsia="Calibri" w:cstheme="minorHAnsi"/>
          <w:b/>
          <w:color w:val="000000"/>
          <w:sz w:val="20"/>
          <w:szCs w:val="20"/>
          <w:lang w:val="en-GB" w:eastAsia="en-US"/>
        </w:rPr>
      </w:pPr>
    </w:p>
    <w:p w14:paraId="064588B2" w14:textId="2A207CE3" w:rsidR="006D10BA" w:rsidRPr="00707A72" w:rsidRDefault="006D10BA" w:rsidP="006D10BA">
      <w:pPr>
        <w:spacing w:beforeLines="100" w:before="240" w:afterLines="100" w:after="240" w:line="360" w:lineRule="auto"/>
        <w:jc w:val="both"/>
        <w:rPr>
          <w:rFonts w:eastAsia="Calibri" w:cstheme="minorHAnsi"/>
          <w:color w:val="000000"/>
          <w:sz w:val="20"/>
          <w:szCs w:val="20"/>
          <w:lang w:val="en-GB" w:eastAsia="en-US"/>
        </w:rPr>
      </w:pPr>
      <w:r w:rsidRPr="00707A72">
        <w:rPr>
          <w:rFonts w:eastAsia="Calibri" w:cstheme="minorHAnsi"/>
          <w:b/>
          <w:color w:val="000000"/>
          <w:sz w:val="20"/>
          <w:szCs w:val="20"/>
          <w:lang w:val="en-GB" w:eastAsia="en-US"/>
        </w:rPr>
        <w:t>Results</w:t>
      </w:r>
      <w:r w:rsidR="004A63DE" w:rsidRPr="00707A72">
        <w:rPr>
          <w:rFonts w:eastAsia="Calibri" w:cstheme="minorHAnsi"/>
          <w:b/>
          <w:color w:val="000000"/>
          <w:sz w:val="20"/>
          <w:szCs w:val="20"/>
          <w:lang w:val="en-GB" w:eastAsia="en-US"/>
        </w:rPr>
        <w:t xml:space="preserve">: </w:t>
      </w:r>
      <w:r w:rsidRPr="00707A72">
        <w:rPr>
          <w:rFonts w:eastAsia="Calibri" w:cstheme="minorHAnsi"/>
          <w:color w:val="000000"/>
          <w:sz w:val="20"/>
          <w:szCs w:val="20"/>
          <w:lang w:val="en-GB" w:eastAsia="en-US"/>
        </w:rPr>
        <w:t>32 distinct websites were identified and analysed. The mean DISCERN score was 49.9 (≥23; ≤71), showing great variability of the quality of online information. The mean Gunning-Fog Index was 15.3. The mean Flesch-Kincaid Grade Level score was 13.4, with the Flesch Reading Ease Score at 38.1. The readability scores equate to a university education.</w:t>
      </w:r>
    </w:p>
    <w:p w14:paraId="70A3809A" w14:textId="77777777" w:rsidR="00707A72" w:rsidRDefault="00707A72" w:rsidP="006D10BA">
      <w:pPr>
        <w:spacing w:beforeLines="100" w:before="240" w:afterLines="100" w:after="240" w:line="360" w:lineRule="auto"/>
        <w:rPr>
          <w:rFonts w:eastAsia="Calibri" w:cstheme="minorHAnsi"/>
          <w:b/>
          <w:color w:val="000000"/>
          <w:sz w:val="20"/>
          <w:szCs w:val="20"/>
          <w:lang w:val="en-GB" w:eastAsia="en-US"/>
        </w:rPr>
      </w:pPr>
    </w:p>
    <w:p w14:paraId="14FF5D3E" w14:textId="4B8977D3" w:rsidR="004A63DE" w:rsidRPr="00707A72" w:rsidRDefault="006D10BA" w:rsidP="00707A72">
      <w:pPr>
        <w:spacing w:beforeLines="100" w:before="240" w:afterLines="100" w:after="240" w:line="360" w:lineRule="auto"/>
        <w:rPr>
          <w:rFonts w:eastAsia="Calibri" w:cstheme="minorHAnsi"/>
          <w:color w:val="000000"/>
          <w:sz w:val="20"/>
          <w:szCs w:val="20"/>
          <w:lang w:val="en-GB" w:eastAsia="en-US"/>
        </w:rPr>
      </w:pPr>
      <w:r w:rsidRPr="00707A72">
        <w:rPr>
          <w:rFonts w:eastAsia="Calibri" w:cstheme="minorHAnsi"/>
          <w:b/>
          <w:color w:val="000000"/>
          <w:sz w:val="20"/>
          <w:szCs w:val="20"/>
          <w:lang w:val="en-GB" w:eastAsia="en-US"/>
        </w:rPr>
        <w:t>Conclusion</w:t>
      </w:r>
      <w:r w:rsidR="004A63DE" w:rsidRPr="00707A72">
        <w:rPr>
          <w:rFonts w:eastAsia="Calibri" w:cstheme="minorHAnsi"/>
          <w:b/>
          <w:color w:val="000000"/>
          <w:sz w:val="20"/>
          <w:szCs w:val="20"/>
          <w:lang w:val="en-GB" w:eastAsia="en-US"/>
        </w:rPr>
        <w:t>:</w:t>
      </w:r>
      <w:r w:rsidRPr="00707A72">
        <w:rPr>
          <w:rFonts w:eastAsia="Calibri" w:cstheme="minorHAnsi"/>
          <w:b/>
          <w:color w:val="000000"/>
          <w:sz w:val="20"/>
          <w:szCs w:val="20"/>
          <w:lang w:val="en-GB" w:eastAsia="en-US"/>
        </w:rPr>
        <w:t xml:space="preserve"> </w:t>
      </w:r>
      <w:r w:rsidRPr="00707A72">
        <w:rPr>
          <w:rFonts w:eastAsia="Calibri" w:cstheme="minorHAnsi"/>
          <w:color w:val="000000"/>
          <w:sz w:val="20"/>
          <w:szCs w:val="20"/>
          <w:lang w:val="en-GB" w:eastAsia="en-US"/>
        </w:rPr>
        <w:t>The quality of online information regarding facial nerve palsy is extremely variable. Patients may also potentially be unable to understand their condition as the level of information available (university level) exceeds the average level of reading ability (11–12 years). Patients wanting clarification should therefore consult their doctor or appropriate leaflets.</w:t>
      </w:r>
      <w:r w:rsidR="004A63DE">
        <w:rPr>
          <w:rFonts w:asciiTheme="majorHAnsi" w:eastAsia="Calibri" w:hAnsiTheme="majorHAnsi" w:cstheme="majorHAnsi"/>
          <w:color w:val="000000"/>
          <w:sz w:val="20"/>
          <w:szCs w:val="20"/>
          <w:lang w:val="en-GB" w:eastAsia="en-US"/>
        </w:rPr>
        <w:br w:type="page"/>
      </w:r>
    </w:p>
    <w:p w14:paraId="524B80A7" w14:textId="77777777" w:rsidR="00707A72" w:rsidRDefault="00707A72" w:rsidP="00707A72">
      <w:pPr>
        <w:pStyle w:val="NoSpacing"/>
        <w:spacing w:line="360" w:lineRule="auto"/>
        <w:rPr>
          <w:rFonts w:cstheme="minorHAnsi"/>
          <w:b/>
          <w:color w:val="000000" w:themeColor="text1"/>
          <w:sz w:val="20"/>
          <w:szCs w:val="20"/>
        </w:rPr>
      </w:pPr>
    </w:p>
    <w:p w14:paraId="1BE92BAC" w14:textId="77777777" w:rsidR="00F96460" w:rsidRDefault="004A63DE" w:rsidP="00F96460">
      <w:pPr>
        <w:pStyle w:val="NoSpacing"/>
        <w:spacing w:line="360" w:lineRule="auto"/>
        <w:rPr>
          <w:rFonts w:cstheme="minorHAnsi"/>
          <w:b/>
          <w:color w:val="000000" w:themeColor="text1"/>
          <w:sz w:val="20"/>
          <w:szCs w:val="20"/>
        </w:rPr>
      </w:pPr>
      <w:r w:rsidRPr="00707A72">
        <w:rPr>
          <w:rFonts w:cstheme="minorHAnsi"/>
          <w:b/>
          <w:color w:val="000000" w:themeColor="text1"/>
          <w:sz w:val="20"/>
          <w:szCs w:val="20"/>
        </w:rPr>
        <w:t>The Liverpool Peritonsillar Abscess Score (LPS) - Prospective Multi-Centre External Validation</w:t>
      </w:r>
    </w:p>
    <w:p w14:paraId="6AF378DB" w14:textId="146904C8" w:rsidR="004A63DE" w:rsidRPr="00707A72" w:rsidRDefault="004A63DE" w:rsidP="00F96460">
      <w:pPr>
        <w:pStyle w:val="NoSpacing"/>
        <w:spacing w:line="360" w:lineRule="auto"/>
        <w:rPr>
          <w:rFonts w:cstheme="minorHAnsi"/>
          <w:b/>
          <w:color w:val="000000" w:themeColor="text1"/>
          <w:sz w:val="20"/>
          <w:szCs w:val="20"/>
        </w:rPr>
      </w:pPr>
      <w:r w:rsidRPr="00707A72">
        <w:rPr>
          <w:rFonts w:cstheme="minorHAnsi"/>
          <w:b/>
          <w:color w:val="000000" w:themeColor="text1"/>
          <w:sz w:val="20"/>
          <w:szCs w:val="20"/>
        </w:rPr>
        <w:t>Andrew Lau, ENT ST6</w:t>
      </w:r>
      <w:r w:rsidR="00707A72">
        <w:rPr>
          <w:rFonts w:cstheme="minorHAnsi"/>
          <w:b/>
          <w:color w:val="000000" w:themeColor="text1"/>
          <w:sz w:val="20"/>
          <w:szCs w:val="20"/>
        </w:rPr>
        <w:br/>
      </w:r>
      <w:r w:rsidRPr="00707A72">
        <w:rPr>
          <w:rFonts w:cstheme="minorHAnsi"/>
          <w:b/>
          <w:color w:val="000000" w:themeColor="text1"/>
          <w:sz w:val="20"/>
          <w:szCs w:val="20"/>
        </w:rPr>
        <w:t>Aintree University Hospital</w:t>
      </w:r>
    </w:p>
    <w:p w14:paraId="7CD36571" w14:textId="77777777" w:rsidR="004A63DE" w:rsidRPr="00707A72" w:rsidRDefault="004A63DE" w:rsidP="00707A72">
      <w:pPr>
        <w:spacing w:line="360" w:lineRule="auto"/>
        <w:rPr>
          <w:rFonts w:cstheme="minorHAnsi"/>
          <w:color w:val="000000" w:themeColor="text1"/>
          <w:sz w:val="20"/>
          <w:szCs w:val="20"/>
          <w:lang w:val="en-GB"/>
        </w:rPr>
      </w:pPr>
    </w:p>
    <w:p w14:paraId="55A82799" w14:textId="575A9027" w:rsidR="004A63DE" w:rsidRPr="00707A72" w:rsidRDefault="004A63DE" w:rsidP="00707A72">
      <w:pPr>
        <w:pStyle w:val="Heading2"/>
        <w:spacing w:line="360" w:lineRule="auto"/>
        <w:rPr>
          <w:rFonts w:asciiTheme="minorHAnsi" w:hAnsiTheme="minorHAnsi" w:cstheme="minorHAnsi"/>
          <w:color w:val="000000" w:themeColor="text1"/>
          <w:sz w:val="20"/>
          <w:szCs w:val="20"/>
        </w:rPr>
      </w:pPr>
      <w:r w:rsidRPr="00707A72">
        <w:rPr>
          <w:rFonts w:asciiTheme="minorHAnsi" w:hAnsiTheme="minorHAnsi" w:cstheme="minorHAnsi"/>
          <w:color w:val="000000" w:themeColor="text1"/>
          <w:sz w:val="20"/>
          <w:szCs w:val="20"/>
        </w:rPr>
        <w:t>Introduction</w:t>
      </w:r>
      <w:r w:rsidR="00707A72">
        <w:rPr>
          <w:rFonts w:asciiTheme="minorHAnsi" w:hAnsiTheme="minorHAnsi" w:cstheme="minorHAnsi"/>
          <w:color w:val="000000" w:themeColor="text1"/>
          <w:sz w:val="20"/>
          <w:szCs w:val="20"/>
        </w:rPr>
        <w:t xml:space="preserve">: </w:t>
      </w:r>
      <w:r w:rsidRPr="00707A72">
        <w:rPr>
          <w:rFonts w:asciiTheme="minorHAnsi" w:hAnsiTheme="minorHAnsi" w:cstheme="minorHAnsi"/>
          <w:b w:val="0"/>
          <w:bCs/>
          <w:color w:val="000000" w:themeColor="text1"/>
          <w:sz w:val="20"/>
          <w:szCs w:val="20"/>
        </w:rPr>
        <w:t>We previously reported the development of the LPS which predicts the presence of peritonsillar abscess (PTA). We validated this internally and our objective was to conduct an external validation study using an independent sample.</w:t>
      </w:r>
      <w:r w:rsidRPr="00707A72">
        <w:rPr>
          <w:rFonts w:asciiTheme="minorHAnsi" w:hAnsiTheme="minorHAnsi" w:cstheme="minorHAnsi"/>
          <w:color w:val="000000" w:themeColor="text1"/>
          <w:sz w:val="20"/>
          <w:szCs w:val="20"/>
        </w:rPr>
        <w:t xml:space="preserve"> </w:t>
      </w:r>
    </w:p>
    <w:p w14:paraId="2F040E39" w14:textId="77777777" w:rsidR="004A63DE" w:rsidRPr="00707A72" w:rsidRDefault="004A63DE" w:rsidP="00707A72">
      <w:pPr>
        <w:spacing w:line="360" w:lineRule="auto"/>
        <w:rPr>
          <w:rFonts w:cstheme="minorHAnsi"/>
          <w:b/>
          <w:color w:val="000000" w:themeColor="text1"/>
          <w:sz w:val="20"/>
          <w:szCs w:val="20"/>
          <w:lang w:val="en-GB"/>
        </w:rPr>
      </w:pPr>
    </w:p>
    <w:p w14:paraId="7487151B" w14:textId="7AFFBFA3" w:rsidR="004A63DE" w:rsidRPr="00707A72" w:rsidRDefault="004A63DE" w:rsidP="00707A72">
      <w:pPr>
        <w:spacing w:line="360" w:lineRule="auto"/>
        <w:rPr>
          <w:rFonts w:cstheme="minorHAnsi"/>
          <w:b/>
          <w:color w:val="000000" w:themeColor="text1"/>
          <w:sz w:val="20"/>
          <w:szCs w:val="20"/>
        </w:rPr>
      </w:pPr>
      <w:r w:rsidRPr="00707A72">
        <w:rPr>
          <w:rFonts w:cstheme="minorHAnsi"/>
          <w:b/>
          <w:color w:val="000000" w:themeColor="text1"/>
          <w:sz w:val="20"/>
          <w:szCs w:val="20"/>
        </w:rPr>
        <w:t>Methods</w:t>
      </w:r>
      <w:r w:rsidR="00707A72">
        <w:rPr>
          <w:rFonts w:cstheme="minorHAnsi"/>
          <w:b/>
          <w:color w:val="000000" w:themeColor="text1"/>
          <w:sz w:val="20"/>
          <w:szCs w:val="20"/>
        </w:rPr>
        <w:t xml:space="preserve">: </w:t>
      </w:r>
      <w:r w:rsidRPr="00707A72">
        <w:rPr>
          <w:rFonts w:cstheme="minorHAnsi"/>
          <w:color w:val="000000" w:themeColor="text1"/>
          <w:sz w:val="20"/>
          <w:szCs w:val="20"/>
        </w:rPr>
        <w:t>We conducted a prospective, multi-</w:t>
      </w:r>
      <w:proofErr w:type="spellStart"/>
      <w:r w:rsidRPr="00707A72">
        <w:rPr>
          <w:rFonts w:cstheme="minorHAnsi"/>
          <w:color w:val="000000" w:themeColor="text1"/>
          <w:sz w:val="20"/>
          <w:szCs w:val="20"/>
        </w:rPr>
        <w:t>centre</w:t>
      </w:r>
      <w:proofErr w:type="spellEnd"/>
      <w:r w:rsidRPr="00707A72">
        <w:rPr>
          <w:rFonts w:cstheme="minorHAnsi"/>
          <w:color w:val="000000" w:themeColor="text1"/>
          <w:sz w:val="20"/>
          <w:szCs w:val="20"/>
        </w:rPr>
        <w:t xml:space="preserve"> validation study, capturing patients admitted with any diagnosis of sore throat from any origin. A sore throat was deemed to be a peritonsillar abscess if there was aspiration of pus. We have performed initial statistical analysis, including computation of the classification function and the AUROC.</w:t>
      </w:r>
    </w:p>
    <w:p w14:paraId="7D4192EF" w14:textId="77777777" w:rsidR="004A63DE" w:rsidRPr="00707A72" w:rsidRDefault="004A63DE" w:rsidP="00707A72">
      <w:pPr>
        <w:spacing w:line="360" w:lineRule="auto"/>
        <w:rPr>
          <w:rFonts w:cstheme="minorHAnsi"/>
          <w:b/>
          <w:color w:val="000000" w:themeColor="text1"/>
          <w:sz w:val="20"/>
          <w:szCs w:val="20"/>
          <w:lang w:val="en-GB"/>
        </w:rPr>
      </w:pPr>
    </w:p>
    <w:p w14:paraId="67A88939" w14:textId="3E84CD96" w:rsidR="004A63DE" w:rsidRPr="00707A72" w:rsidRDefault="004A63DE" w:rsidP="00707A72">
      <w:pPr>
        <w:spacing w:line="360" w:lineRule="auto"/>
        <w:rPr>
          <w:rFonts w:cstheme="minorHAnsi"/>
          <w:b/>
          <w:color w:val="000000" w:themeColor="text1"/>
          <w:sz w:val="20"/>
          <w:szCs w:val="20"/>
        </w:rPr>
      </w:pPr>
      <w:r w:rsidRPr="00707A72">
        <w:rPr>
          <w:rFonts w:cstheme="minorHAnsi"/>
          <w:b/>
          <w:color w:val="000000" w:themeColor="text1"/>
          <w:sz w:val="20"/>
          <w:szCs w:val="20"/>
        </w:rPr>
        <w:t>Results</w:t>
      </w:r>
      <w:r w:rsidR="00707A72">
        <w:rPr>
          <w:rFonts w:cstheme="minorHAnsi"/>
          <w:b/>
          <w:color w:val="000000" w:themeColor="text1"/>
          <w:sz w:val="20"/>
          <w:szCs w:val="20"/>
        </w:rPr>
        <w:t xml:space="preserve">: </w:t>
      </w:r>
      <w:r w:rsidRPr="00707A72">
        <w:rPr>
          <w:rFonts w:cstheme="minorHAnsi"/>
          <w:color w:val="000000" w:themeColor="text1"/>
          <w:sz w:val="20"/>
          <w:szCs w:val="20"/>
        </w:rPr>
        <w:t>We captured the presentations of 200 patients with sore throats across six centres (</w:t>
      </w:r>
      <w:proofErr w:type="spellStart"/>
      <w:r w:rsidRPr="00707A72">
        <w:rPr>
          <w:rFonts w:cstheme="minorHAnsi"/>
          <w:color w:val="000000" w:themeColor="text1"/>
          <w:sz w:val="20"/>
          <w:szCs w:val="20"/>
        </w:rPr>
        <w:t>Arrowe</w:t>
      </w:r>
      <w:proofErr w:type="spellEnd"/>
      <w:r w:rsidRPr="00707A72">
        <w:rPr>
          <w:rFonts w:cstheme="minorHAnsi"/>
          <w:color w:val="000000" w:themeColor="text1"/>
          <w:sz w:val="20"/>
          <w:szCs w:val="20"/>
        </w:rPr>
        <w:t xml:space="preserve"> Park Hospital, Bradford Royal Infirmary, Royal Liverpool Hospital, Royal Stoke Hospital, Stepping </w:t>
      </w:r>
      <w:proofErr w:type="gramStart"/>
      <w:r w:rsidRPr="00707A72">
        <w:rPr>
          <w:rFonts w:cstheme="minorHAnsi"/>
          <w:color w:val="000000" w:themeColor="text1"/>
          <w:sz w:val="20"/>
          <w:szCs w:val="20"/>
        </w:rPr>
        <w:t>Hill  Hospital</w:t>
      </w:r>
      <w:proofErr w:type="gramEnd"/>
      <w:r w:rsidRPr="00707A72">
        <w:rPr>
          <w:rFonts w:cstheme="minorHAnsi"/>
          <w:color w:val="000000" w:themeColor="text1"/>
          <w:sz w:val="20"/>
          <w:szCs w:val="20"/>
        </w:rPr>
        <w:t xml:space="preserve"> and Wythenshawe Hospital). </w:t>
      </w:r>
    </w:p>
    <w:p w14:paraId="47A537DB" w14:textId="77777777" w:rsidR="004A63DE" w:rsidRPr="00707A72" w:rsidRDefault="004A63DE" w:rsidP="00707A72">
      <w:pPr>
        <w:pStyle w:val="NoSpacing"/>
        <w:spacing w:line="360" w:lineRule="auto"/>
        <w:rPr>
          <w:rFonts w:cstheme="minorHAnsi"/>
          <w:color w:val="000000" w:themeColor="text1"/>
          <w:sz w:val="20"/>
          <w:szCs w:val="20"/>
        </w:rPr>
      </w:pPr>
      <w:bookmarkStart w:id="0" w:name="_GoBack"/>
      <w:bookmarkEnd w:id="0"/>
    </w:p>
    <w:p w14:paraId="285CB8D5" w14:textId="77777777" w:rsidR="004A63DE" w:rsidRPr="00707A72" w:rsidRDefault="004A63DE" w:rsidP="00707A72">
      <w:pPr>
        <w:pStyle w:val="NoSpacing"/>
        <w:spacing w:line="360" w:lineRule="auto"/>
        <w:rPr>
          <w:rFonts w:cstheme="minorHAnsi"/>
          <w:color w:val="000000" w:themeColor="text1"/>
          <w:sz w:val="20"/>
          <w:szCs w:val="20"/>
        </w:rPr>
      </w:pPr>
      <w:r w:rsidRPr="00707A72">
        <w:rPr>
          <w:rFonts w:cstheme="minorHAnsi"/>
          <w:color w:val="000000" w:themeColor="text1"/>
          <w:sz w:val="20"/>
          <w:szCs w:val="20"/>
        </w:rPr>
        <w:t>54 people had aspirate-proven peritonsillar abscesses. Median age was 26 years and there were 89 men (45%). Again, more PTA occurred in men (34 of 54; p=0.001). In this sample, patients with PTA were older than those without (p=0.03).</w:t>
      </w:r>
    </w:p>
    <w:p w14:paraId="082B88EB" w14:textId="77777777" w:rsidR="004A63DE" w:rsidRPr="00707A72" w:rsidRDefault="004A63DE" w:rsidP="00707A72">
      <w:pPr>
        <w:pStyle w:val="NoSpacing"/>
        <w:spacing w:line="360" w:lineRule="auto"/>
        <w:rPr>
          <w:rFonts w:cstheme="minorHAnsi"/>
          <w:color w:val="000000" w:themeColor="text1"/>
          <w:sz w:val="20"/>
          <w:szCs w:val="20"/>
        </w:rPr>
      </w:pPr>
    </w:p>
    <w:p w14:paraId="09304211" w14:textId="77777777" w:rsidR="004A63DE" w:rsidRPr="00707A72" w:rsidRDefault="004A63DE" w:rsidP="00707A72">
      <w:pPr>
        <w:pStyle w:val="NoSpacing"/>
        <w:spacing w:line="360" w:lineRule="auto"/>
        <w:rPr>
          <w:rFonts w:cstheme="minorHAnsi"/>
          <w:color w:val="000000" w:themeColor="text1"/>
          <w:sz w:val="20"/>
          <w:szCs w:val="20"/>
        </w:rPr>
      </w:pPr>
      <w:r w:rsidRPr="00707A72">
        <w:rPr>
          <w:rFonts w:cstheme="minorHAnsi"/>
          <w:color w:val="000000" w:themeColor="text1"/>
          <w:sz w:val="20"/>
          <w:szCs w:val="20"/>
        </w:rPr>
        <w:t xml:space="preserve">LPS classification function </w:t>
      </w:r>
      <w:proofErr w:type="gramStart"/>
      <w:r w:rsidRPr="00707A72">
        <w:rPr>
          <w:rFonts w:cstheme="minorHAnsi"/>
          <w:color w:val="000000" w:themeColor="text1"/>
          <w:sz w:val="20"/>
          <w:szCs w:val="20"/>
        </w:rPr>
        <w:t>was:</w:t>
      </w:r>
      <w:proofErr w:type="gramEnd"/>
      <w:r w:rsidRPr="00707A72">
        <w:rPr>
          <w:rFonts w:cstheme="minorHAnsi"/>
          <w:color w:val="000000" w:themeColor="text1"/>
          <w:sz w:val="20"/>
          <w:szCs w:val="20"/>
        </w:rPr>
        <w:t xml:space="preserve"> sensitivity 98%, specificity 73%, NPV 99% and PPV 57%. Accuracy was 80% and the AUROC was 0.913 (95% CI 0.875 to 0.952).</w:t>
      </w:r>
    </w:p>
    <w:p w14:paraId="71AB5DAA" w14:textId="77777777" w:rsidR="00707A72" w:rsidRPr="00707A72" w:rsidRDefault="00707A72" w:rsidP="00707A72">
      <w:pPr>
        <w:spacing w:line="360" w:lineRule="auto"/>
        <w:rPr>
          <w:rFonts w:cstheme="minorHAnsi"/>
          <w:b/>
          <w:color w:val="000000" w:themeColor="text1"/>
          <w:sz w:val="20"/>
          <w:szCs w:val="20"/>
        </w:rPr>
      </w:pPr>
    </w:p>
    <w:p w14:paraId="7DB54EDD" w14:textId="704F1F64" w:rsidR="006F52B0" w:rsidRDefault="004A63DE" w:rsidP="00707A72">
      <w:pPr>
        <w:spacing w:line="360" w:lineRule="auto"/>
        <w:rPr>
          <w:rFonts w:cstheme="minorHAnsi"/>
          <w:b/>
          <w:color w:val="000000" w:themeColor="text1"/>
          <w:sz w:val="20"/>
          <w:szCs w:val="20"/>
        </w:rPr>
      </w:pPr>
      <w:r w:rsidRPr="00707A72">
        <w:rPr>
          <w:rFonts w:cstheme="minorHAnsi"/>
          <w:b/>
          <w:color w:val="000000" w:themeColor="text1"/>
          <w:sz w:val="20"/>
          <w:szCs w:val="20"/>
        </w:rPr>
        <w:t>Discussion</w:t>
      </w:r>
      <w:r w:rsidR="00707A72">
        <w:rPr>
          <w:rFonts w:cstheme="minorHAnsi"/>
          <w:b/>
          <w:color w:val="000000" w:themeColor="text1"/>
          <w:sz w:val="20"/>
          <w:szCs w:val="20"/>
        </w:rPr>
        <w:t xml:space="preserve">: </w:t>
      </w:r>
      <w:r w:rsidRPr="00707A72">
        <w:rPr>
          <w:rFonts w:cstheme="minorHAnsi"/>
          <w:color w:val="000000" w:themeColor="text1"/>
          <w:sz w:val="20"/>
          <w:szCs w:val="20"/>
        </w:rPr>
        <w:t>This validation exercise demonstrates that the LPS is a good model for the presence of PTA. As previously described, the high NPV of the LPS would be of particular use in situations where a non-specialist did not feel admission was warranted, except for concerns over a missed PTA. The poorer positive predictive value is mitigated by the fact that many such patients would be admitted due to poor oral intake.</w:t>
      </w:r>
    </w:p>
    <w:p w14:paraId="26742695" w14:textId="50F8E14B" w:rsidR="00707A72" w:rsidRDefault="00707A72">
      <w:pPr>
        <w:rPr>
          <w:rFonts w:cstheme="minorHAnsi"/>
          <w:b/>
          <w:color w:val="000000" w:themeColor="text1"/>
          <w:sz w:val="20"/>
          <w:szCs w:val="20"/>
        </w:rPr>
      </w:pPr>
      <w:r>
        <w:rPr>
          <w:rFonts w:cstheme="minorHAnsi"/>
          <w:b/>
          <w:color w:val="000000" w:themeColor="text1"/>
          <w:sz w:val="20"/>
          <w:szCs w:val="20"/>
        </w:rPr>
        <w:br w:type="page"/>
      </w:r>
    </w:p>
    <w:p w14:paraId="338B57C4" w14:textId="77777777" w:rsidR="00350A6B" w:rsidRDefault="00350A6B" w:rsidP="00350A6B">
      <w:pPr>
        <w:spacing w:line="360" w:lineRule="auto"/>
        <w:rPr>
          <w:rFonts w:asciiTheme="majorHAnsi" w:hAnsiTheme="majorHAnsi" w:cstheme="majorHAnsi"/>
          <w:b/>
          <w:bCs/>
          <w:color w:val="000000" w:themeColor="text1"/>
          <w:sz w:val="20"/>
          <w:szCs w:val="20"/>
          <w:lang w:val="en-GB"/>
        </w:rPr>
      </w:pPr>
    </w:p>
    <w:p w14:paraId="5E17785E" w14:textId="4571A31D" w:rsidR="00350A6B" w:rsidRDefault="00783648" w:rsidP="00DA6992">
      <w:pPr>
        <w:spacing w:line="240" w:lineRule="auto"/>
        <w:rPr>
          <w:rFonts w:asciiTheme="majorHAnsi" w:hAnsiTheme="majorHAnsi" w:cstheme="majorHAnsi"/>
          <w:b/>
          <w:bCs/>
          <w:color w:val="000000" w:themeColor="text1"/>
          <w:sz w:val="20"/>
          <w:szCs w:val="20"/>
          <w:lang w:val="en-GB"/>
        </w:rPr>
      </w:pPr>
      <w:r w:rsidRPr="00350A6B">
        <w:rPr>
          <w:rFonts w:asciiTheme="majorHAnsi" w:hAnsiTheme="majorHAnsi" w:cstheme="majorHAnsi"/>
          <w:b/>
          <w:bCs/>
          <w:color w:val="000000" w:themeColor="text1"/>
          <w:sz w:val="20"/>
          <w:szCs w:val="20"/>
          <w:lang w:val="en-GB"/>
        </w:rPr>
        <w:t>Patients’ perception on descriptive terminology during medical consultation</w:t>
      </w:r>
    </w:p>
    <w:p w14:paraId="754D6E6C" w14:textId="1FD589E2" w:rsidR="00350A6B" w:rsidRPr="00350A6B" w:rsidRDefault="00350A6B" w:rsidP="00DA6992">
      <w:pPr>
        <w:spacing w:line="240" w:lineRule="auto"/>
        <w:rPr>
          <w:rFonts w:asciiTheme="majorHAnsi" w:hAnsiTheme="majorHAnsi" w:cstheme="majorHAnsi"/>
          <w:b/>
          <w:bCs/>
          <w:color w:val="000000" w:themeColor="text1"/>
          <w:sz w:val="20"/>
          <w:szCs w:val="20"/>
          <w:lang w:val="en-GB"/>
        </w:rPr>
      </w:pPr>
      <w:r w:rsidRPr="00350A6B">
        <w:rPr>
          <w:b/>
          <w:bCs/>
          <w:color w:val="000000" w:themeColor="text1"/>
          <w:sz w:val="20"/>
          <w:szCs w:val="20"/>
        </w:rPr>
        <w:t>Thomas Haigh, Core Surgery</w:t>
      </w:r>
    </w:p>
    <w:p w14:paraId="00F952E5" w14:textId="78BC9282" w:rsidR="00350A6B" w:rsidRPr="00350A6B" w:rsidRDefault="00350A6B" w:rsidP="00DA6992">
      <w:pPr>
        <w:spacing w:line="240" w:lineRule="auto"/>
        <w:rPr>
          <w:b/>
          <w:bCs/>
          <w:color w:val="000000" w:themeColor="text1"/>
          <w:sz w:val="20"/>
          <w:szCs w:val="20"/>
        </w:rPr>
      </w:pPr>
      <w:proofErr w:type="spellStart"/>
      <w:r w:rsidRPr="00350A6B">
        <w:rPr>
          <w:b/>
          <w:bCs/>
          <w:color w:val="000000" w:themeColor="text1"/>
          <w:sz w:val="20"/>
          <w:szCs w:val="20"/>
        </w:rPr>
        <w:t>Pinderfields</w:t>
      </w:r>
      <w:proofErr w:type="spellEnd"/>
      <w:r w:rsidRPr="00350A6B">
        <w:rPr>
          <w:b/>
          <w:bCs/>
          <w:color w:val="000000" w:themeColor="text1"/>
          <w:sz w:val="20"/>
          <w:szCs w:val="20"/>
        </w:rPr>
        <w:t xml:space="preserve"> Hospital, Wakefield</w:t>
      </w:r>
    </w:p>
    <w:p w14:paraId="2F378BC2" w14:textId="77777777" w:rsidR="00350A6B" w:rsidRPr="00350A6B" w:rsidRDefault="00350A6B" w:rsidP="00783648">
      <w:pPr>
        <w:spacing w:line="360" w:lineRule="auto"/>
        <w:rPr>
          <w:rFonts w:asciiTheme="majorHAnsi" w:hAnsiTheme="majorHAnsi" w:cstheme="majorHAnsi"/>
          <w:color w:val="000000" w:themeColor="text1"/>
          <w:sz w:val="20"/>
          <w:szCs w:val="20"/>
          <w:lang w:val="en-GB"/>
        </w:rPr>
      </w:pPr>
    </w:p>
    <w:p w14:paraId="037AFF9C" w14:textId="154BAAD4" w:rsidR="00783648" w:rsidRPr="00350A6B" w:rsidRDefault="00783648" w:rsidP="00350A6B">
      <w:pPr>
        <w:pStyle w:val="Heading2"/>
        <w:spacing w:line="360" w:lineRule="auto"/>
        <w:rPr>
          <w:rFonts w:cstheme="majorHAnsi"/>
          <w:color w:val="000000" w:themeColor="text1"/>
          <w:sz w:val="20"/>
          <w:szCs w:val="20"/>
        </w:rPr>
      </w:pPr>
      <w:r w:rsidRPr="00350A6B">
        <w:rPr>
          <w:rFonts w:cstheme="majorHAnsi"/>
          <w:color w:val="000000" w:themeColor="text1"/>
          <w:sz w:val="20"/>
          <w:szCs w:val="20"/>
        </w:rPr>
        <w:t>Introduction</w:t>
      </w:r>
      <w:r w:rsidR="00350A6B">
        <w:rPr>
          <w:rFonts w:cstheme="majorHAnsi"/>
          <w:color w:val="000000" w:themeColor="text1"/>
          <w:sz w:val="20"/>
          <w:szCs w:val="20"/>
        </w:rPr>
        <w:t xml:space="preserve">: </w:t>
      </w:r>
      <w:r w:rsidRPr="00350A6B">
        <w:rPr>
          <w:rFonts w:cstheme="majorHAnsi"/>
          <w:b w:val="0"/>
          <w:bCs/>
          <w:color w:val="000000" w:themeColor="text1"/>
          <w:sz w:val="20"/>
          <w:szCs w:val="20"/>
          <w:lang w:val="en-GB"/>
        </w:rPr>
        <w:t xml:space="preserve">Risks communication is integral to effective medical consultation enabling patients to make fully informed decisions. Descriptive terminology is often used. </w:t>
      </w:r>
      <w:proofErr w:type="gramStart"/>
      <w:r w:rsidRPr="00350A6B">
        <w:rPr>
          <w:rFonts w:cstheme="majorHAnsi"/>
          <w:b w:val="0"/>
          <w:bCs/>
          <w:color w:val="000000" w:themeColor="text1"/>
          <w:sz w:val="20"/>
          <w:szCs w:val="20"/>
          <w:lang w:val="en-GB"/>
        </w:rPr>
        <w:t>However</w:t>
      </w:r>
      <w:proofErr w:type="gramEnd"/>
      <w:r w:rsidRPr="00350A6B">
        <w:rPr>
          <w:rFonts w:cstheme="majorHAnsi"/>
          <w:b w:val="0"/>
          <w:bCs/>
          <w:color w:val="000000" w:themeColor="text1"/>
          <w:sz w:val="20"/>
          <w:szCs w:val="20"/>
          <w:lang w:val="en-GB"/>
        </w:rPr>
        <w:t xml:space="preserve"> they could have different meanings to different patients. The aim of this study is to identify this variation. At the same </w:t>
      </w:r>
      <w:proofErr w:type="gramStart"/>
      <w:r w:rsidRPr="00350A6B">
        <w:rPr>
          <w:rFonts w:cstheme="majorHAnsi"/>
          <w:b w:val="0"/>
          <w:bCs/>
          <w:color w:val="000000" w:themeColor="text1"/>
          <w:sz w:val="20"/>
          <w:szCs w:val="20"/>
          <w:lang w:val="en-GB"/>
        </w:rPr>
        <w:t>time</w:t>
      </w:r>
      <w:proofErr w:type="gramEnd"/>
      <w:r w:rsidRPr="00350A6B">
        <w:rPr>
          <w:rFonts w:cstheme="majorHAnsi"/>
          <w:b w:val="0"/>
          <w:bCs/>
          <w:color w:val="000000" w:themeColor="text1"/>
          <w:sz w:val="20"/>
          <w:szCs w:val="20"/>
          <w:lang w:val="en-GB"/>
        </w:rPr>
        <w:t xml:space="preserve"> we explore their preference of the numeric format (percentage vs frequency) when these are used.</w:t>
      </w:r>
      <w:r w:rsidRPr="00350A6B">
        <w:rPr>
          <w:rFonts w:cstheme="majorHAnsi"/>
          <w:color w:val="000000" w:themeColor="text1"/>
          <w:sz w:val="20"/>
          <w:szCs w:val="20"/>
          <w:lang w:val="en-GB"/>
        </w:rPr>
        <w:t xml:space="preserve"> </w:t>
      </w:r>
    </w:p>
    <w:p w14:paraId="20ACB580" w14:textId="77777777" w:rsidR="00783648" w:rsidRPr="00350A6B" w:rsidRDefault="00783648" w:rsidP="00783648">
      <w:pPr>
        <w:spacing w:line="360" w:lineRule="auto"/>
        <w:rPr>
          <w:rFonts w:asciiTheme="majorHAnsi" w:hAnsiTheme="majorHAnsi" w:cstheme="majorHAnsi"/>
          <w:b/>
          <w:color w:val="000000" w:themeColor="text1"/>
          <w:sz w:val="20"/>
          <w:szCs w:val="20"/>
        </w:rPr>
      </w:pPr>
    </w:p>
    <w:p w14:paraId="69F44E1D" w14:textId="2B285837" w:rsidR="00783648" w:rsidRPr="00350A6B" w:rsidRDefault="00783648" w:rsidP="00350A6B">
      <w:pPr>
        <w:spacing w:line="360" w:lineRule="auto"/>
        <w:rPr>
          <w:rFonts w:asciiTheme="majorHAnsi" w:hAnsiTheme="majorHAnsi" w:cstheme="majorHAnsi"/>
          <w:b/>
          <w:color w:val="000000" w:themeColor="text1"/>
          <w:sz w:val="20"/>
          <w:szCs w:val="20"/>
        </w:rPr>
      </w:pPr>
      <w:r w:rsidRPr="00350A6B">
        <w:rPr>
          <w:rFonts w:asciiTheme="majorHAnsi" w:hAnsiTheme="majorHAnsi" w:cstheme="majorHAnsi"/>
          <w:b/>
          <w:color w:val="000000" w:themeColor="text1"/>
          <w:sz w:val="20"/>
          <w:szCs w:val="20"/>
        </w:rPr>
        <w:t>Methods</w:t>
      </w:r>
      <w:r w:rsidR="00350A6B">
        <w:rPr>
          <w:rFonts w:asciiTheme="majorHAnsi" w:hAnsiTheme="majorHAnsi" w:cstheme="majorHAnsi"/>
          <w:b/>
          <w:color w:val="000000" w:themeColor="text1"/>
          <w:sz w:val="20"/>
          <w:szCs w:val="20"/>
        </w:rPr>
        <w:t xml:space="preserve">: </w:t>
      </w:r>
      <w:r w:rsidRPr="00350A6B">
        <w:rPr>
          <w:rFonts w:asciiTheme="majorHAnsi" w:hAnsiTheme="majorHAnsi" w:cstheme="majorHAnsi"/>
          <w:color w:val="000000" w:themeColor="text1"/>
          <w:sz w:val="20"/>
          <w:szCs w:val="20"/>
          <w:lang w:val="en-GB"/>
        </w:rPr>
        <w:t xml:space="preserve">A patient questionnaire was distributed randomly to patients attending ENT clinic over a 4-week period between February and March 2019. Basic demographic details were recorded. Patients were asked for their preferences as to how they would receive information regarding likelihood or risk, whether that be in percentage form or frequency.  We asked them to write a number next to a descriptive terminology such as ‘very common’, ‘common’, ‘uncommon’, ‘rare’ and ‘very rare’ in their chosen numeric format. </w:t>
      </w:r>
    </w:p>
    <w:p w14:paraId="40F39C9B" w14:textId="77777777" w:rsidR="00783648" w:rsidRPr="00350A6B" w:rsidRDefault="00783648" w:rsidP="00783648">
      <w:pPr>
        <w:spacing w:line="360" w:lineRule="auto"/>
        <w:rPr>
          <w:rFonts w:asciiTheme="majorHAnsi" w:hAnsiTheme="majorHAnsi" w:cstheme="majorHAnsi"/>
          <w:b/>
          <w:color w:val="000000" w:themeColor="text1"/>
          <w:sz w:val="20"/>
          <w:szCs w:val="20"/>
        </w:rPr>
      </w:pPr>
    </w:p>
    <w:p w14:paraId="0C754790" w14:textId="6EAB3EE7" w:rsidR="00783648" w:rsidRPr="00350A6B" w:rsidRDefault="00783648" w:rsidP="00350A6B">
      <w:pPr>
        <w:spacing w:line="360" w:lineRule="auto"/>
        <w:rPr>
          <w:rFonts w:asciiTheme="majorHAnsi" w:hAnsiTheme="majorHAnsi" w:cstheme="majorHAnsi"/>
          <w:b/>
          <w:color w:val="000000" w:themeColor="text1"/>
          <w:sz w:val="20"/>
          <w:szCs w:val="20"/>
        </w:rPr>
      </w:pPr>
      <w:r w:rsidRPr="00350A6B">
        <w:rPr>
          <w:rFonts w:asciiTheme="majorHAnsi" w:hAnsiTheme="majorHAnsi" w:cstheme="majorHAnsi"/>
          <w:b/>
          <w:color w:val="000000" w:themeColor="text1"/>
          <w:sz w:val="20"/>
          <w:szCs w:val="20"/>
        </w:rPr>
        <w:t>Results</w:t>
      </w:r>
      <w:r w:rsidR="00350A6B">
        <w:rPr>
          <w:rFonts w:asciiTheme="majorHAnsi" w:hAnsiTheme="majorHAnsi" w:cstheme="majorHAnsi"/>
          <w:b/>
          <w:color w:val="000000" w:themeColor="text1"/>
          <w:sz w:val="20"/>
          <w:szCs w:val="20"/>
        </w:rPr>
        <w:t xml:space="preserve">: </w:t>
      </w:r>
      <w:r w:rsidRPr="00350A6B">
        <w:rPr>
          <w:rFonts w:asciiTheme="majorHAnsi" w:hAnsiTheme="majorHAnsi" w:cstheme="majorHAnsi"/>
          <w:color w:val="000000" w:themeColor="text1"/>
          <w:sz w:val="20"/>
          <w:szCs w:val="20"/>
          <w:lang w:val="en-GB"/>
        </w:rPr>
        <w:t xml:space="preserve">46 completed surveys were returned. 58.6% expressed preference for usage of percentage whilst 30.4% preferred numeric risk.  On patients being asked to identify percentage frequencies for terms such as ‘very common’, ‘common’, ‘rare’ and ‘very rare’, a wide variety were identified.  For ‘common’, the majority of the subjects identified frequency as 80-90%.  </w:t>
      </w:r>
      <w:proofErr w:type="gramStart"/>
      <w:r w:rsidRPr="00350A6B">
        <w:rPr>
          <w:rFonts w:asciiTheme="majorHAnsi" w:hAnsiTheme="majorHAnsi" w:cstheme="majorHAnsi"/>
          <w:color w:val="000000" w:themeColor="text1"/>
          <w:sz w:val="20"/>
          <w:szCs w:val="20"/>
          <w:lang w:val="en-GB"/>
        </w:rPr>
        <w:t>However</w:t>
      </w:r>
      <w:proofErr w:type="gramEnd"/>
      <w:r w:rsidRPr="00350A6B">
        <w:rPr>
          <w:rFonts w:asciiTheme="majorHAnsi" w:hAnsiTheme="majorHAnsi" w:cstheme="majorHAnsi"/>
          <w:color w:val="000000" w:themeColor="text1"/>
          <w:sz w:val="20"/>
          <w:szCs w:val="20"/>
          <w:lang w:val="en-GB"/>
        </w:rPr>
        <w:t xml:space="preserve"> for ‘uncommon’ percentage frequency varied wildly from 55% to 10% whilst for ‘very rare’ this varied from 0.05% to 20%.</w:t>
      </w:r>
    </w:p>
    <w:p w14:paraId="0A471138" w14:textId="77777777" w:rsidR="00783648" w:rsidRPr="00350A6B" w:rsidRDefault="00783648" w:rsidP="00783648">
      <w:pPr>
        <w:spacing w:line="360" w:lineRule="auto"/>
        <w:rPr>
          <w:rFonts w:asciiTheme="majorHAnsi" w:hAnsiTheme="majorHAnsi" w:cstheme="majorHAnsi"/>
          <w:b/>
          <w:color w:val="000000" w:themeColor="text1"/>
          <w:sz w:val="20"/>
          <w:szCs w:val="20"/>
        </w:rPr>
      </w:pPr>
    </w:p>
    <w:p w14:paraId="3F9203FD" w14:textId="3BCB69D1" w:rsidR="00CE411B" w:rsidRDefault="00783648" w:rsidP="00CE411B">
      <w:pPr>
        <w:spacing w:line="360" w:lineRule="auto"/>
        <w:rPr>
          <w:rFonts w:asciiTheme="majorHAnsi" w:hAnsiTheme="majorHAnsi" w:cstheme="majorHAnsi"/>
          <w:b/>
          <w:color w:val="000000" w:themeColor="text1"/>
          <w:sz w:val="20"/>
          <w:szCs w:val="20"/>
        </w:rPr>
      </w:pPr>
      <w:r w:rsidRPr="00350A6B">
        <w:rPr>
          <w:rFonts w:asciiTheme="majorHAnsi" w:hAnsiTheme="majorHAnsi" w:cstheme="majorHAnsi"/>
          <w:b/>
          <w:color w:val="000000" w:themeColor="text1"/>
          <w:sz w:val="20"/>
          <w:szCs w:val="20"/>
        </w:rPr>
        <w:t>Discussion</w:t>
      </w:r>
      <w:r w:rsidR="00350A6B">
        <w:rPr>
          <w:rFonts w:asciiTheme="majorHAnsi" w:hAnsiTheme="majorHAnsi" w:cstheme="majorHAnsi"/>
          <w:b/>
          <w:color w:val="000000" w:themeColor="text1"/>
          <w:sz w:val="20"/>
          <w:szCs w:val="20"/>
        </w:rPr>
        <w:t xml:space="preserve">: </w:t>
      </w:r>
      <w:r w:rsidRPr="00350A6B">
        <w:rPr>
          <w:rFonts w:asciiTheme="majorHAnsi" w:hAnsiTheme="majorHAnsi" w:cstheme="majorHAnsi"/>
          <w:color w:val="000000" w:themeColor="text1"/>
          <w:sz w:val="20"/>
          <w:szCs w:val="20"/>
          <w:lang w:val="en-GB"/>
        </w:rPr>
        <w:t xml:space="preserve">Our study has shown that patients prefer the use of percentages on discussing probabilities during medical consultation. It also highlighted the variations of patient’s perception on commonly used terminology.  </w:t>
      </w:r>
    </w:p>
    <w:p w14:paraId="05A7514B" w14:textId="77777777" w:rsidR="00CE411B" w:rsidRDefault="00CE411B">
      <w:pPr>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br w:type="page"/>
      </w:r>
    </w:p>
    <w:p w14:paraId="570DBF62" w14:textId="77777777" w:rsidR="00CE411B" w:rsidRDefault="00CE411B" w:rsidP="00CE411B">
      <w:pPr>
        <w:pStyle w:val="Heading2"/>
        <w:spacing w:line="360" w:lineRule="auto"/>
        <w:rPr>
          <w:b w:val="0"/>
          <w:bCs/>
          <w:color w:val="000000" w:themeColor="text1"/>
          <w:sz w:val="20"/>
          <w:szCs w:val="20"/>
        </w:rPr>
      </w:pPr>
    </w:p>
    <w:p w14:paraId="209550BC" w14:textId="3BB2E60C" w:rsidR="00CE411B" w:rsidRPr="00CE411B" w:rsidRDefault="00CE411B" w:rsidP="00CE411B">
      <w:pPr>
        <w:pStyle w:val="Heading2"/>
        <w:spacing w:line="360" w:lineRule="auto"/>
        <w:rPr>
          <w:color w:val="000000" w:themeColor="text1"/>
          <w:sz w:val="20"/>
          <w:szCs w:val="20"/>
        </w:rPr>
      </w:pPr>
      <w:proofErr w:type="spellStart"/>
      <w:r w:rsidRPr="00CE411B">
        <w:rPr>
          <w:color w:val="000000" w:themeColor="text1"/>
          <w:sz w:val="20"/>
          <w:szCs w:val="20"/>
        </w:rPr>
        <w:t>Necrotising</w:t>
      </w:r>
      <w:proofErr w:type="spellEnd"/>
      <w:r w:rsidRPr="00CE411B">
        <w:rPr>
          <w:color w:val="000000" w:themeColor="text1"/>
          <w:sz w:val="20"/>
          <w:szCs w:val="20"/>
        </w:rPr>
        <w:t xml:space="preserve"> Otitis Externa: Four theories behind the 15-year astronomic rise of this uncommon infection</w:t>
      </w:r>
    </w:p>
    <w:p w14:paraId="7DA903AA" w14:textId="77777777" w:rsidR="00CE411B" w:rsidRPr="00CE411B" w:rsidRDefault="00CE411B" w:rsidP="00CE411B">
      <w:pPr>
        <w:spacing w:line="360" w:lineRule="auto"/>
        <w:rPr>
          <w:b/>
          <w:color w:val="000000" w:themeColor="text1"/>
          <w:sz w:val="20"/>
          <w:szCs w:val="20"/>
        </w:rPr>
      </w:pPr>
      <w:r w:rsidRPr="00CE411B">
        <w:rPr>
          <w:b/>
          <w:color w:val="000000" w:themeColor="text1"/>
          <w:sz w:val="20"/>
          <w:szCs w:val="20"/>
        </w:rPr>
        <w:t>Stefan Linton, Clinical Fellow in Otolaryngology</w:t>
      </w:r>
    </w:p>
    <w:p w14:paraId="6D063829" w14:textId="05D95546" w:rsidR="00CE411B" w:rsidRPr="00CE411B" w:rsidRDefault="00CE411B" w:rsidP="00CE411B">
      <w:pPr>
        <w:spacing w:line="360" w:lineRule="auto"/>
        <w:rPr>
          <w:b/>
          <w:color w:val="000000" w:themeColor="text1"/>
          <w:sz w:val="20"/>
          <w:szCs w:val="20"/>
        </w:rPr>
      </w:pPr>
      <w:r w:rsidRPr="00CE411B">
        <w:rPr>
          <w:b/>
          <w:color w:val="000000" w:themeColor="text1"/>
          <w:sz w:val="20"/>
          <w:szCs w:val="20"/>
        </w:rPr>
        <w:t>Manchester Royal Infirmary</w:t>
      </w:r>
    </w:p>
    <w:p w14:paraId="0CBDEBA8" w14:textId="77777777" w:rsidR="00CE411B" w:rsidRPr="00CE411B" w:rsidRDefault="00CE411B" w:rsidP="00CE411B"/>
    <w:p w14:paraId="1B46F6AB" w14:textId="77777777" w:rsidR="00CE411B" w:rsidRPr="00CE411B" w:rsidRDefault="00CE411B" w:rsidP="00CE411B">
      <w:pPr>
        <w:pStyle w:val="Heading2"/>
        <w:spacing w:line="360" w:lineRule="auto"/>
        <w:rPr>
          <w:b w:val="0"/>
          <w:bCs/>
          <w:color w:val="000000" w:themeColor="text1"/>
          <w:sz w:val="20"/>
          <w:szCs w:val="20"/>
        </w:rPr>
      </w:pPr>
      <w:r w:rsidRPr="00CE411B">
        <w:rPr>
          <w:color w:val="000000" w:themeColor="text1"/>
          <w:sz w:val="20"/>
          <w:szCs w:val="20"/>
        </w:rPr>
        <w:t>Introduction:</w:t>
      </w:r>
      <w:r w:rsidRPr="00CE411B">
        <w:rPr>
          <w:b w:val="0"/>
          <w:bCs/>
          <w:color w:val="000000" w:themeColor="text1"/>
          <w:sz w:val="20"/>
          <w:szCs w:val="20"/>
        </w:rPr>
        <w:t xml:space="preserve"> </w:t>
      </w:r>
      <w:proofErr w:type="spellStart"/>
      <w:r w:rsidRPr="00CE411B">
        <w:rPr>
          <w:b w:val="0"/>
          <w:bCs/>
          <w:color w:val="000000" w:themeColor="text1"/>
          <w:sz w:val="20"/>
          <w:szCs w:val="20"/>
        </w:rPr>
        <w:t>Necrotising</w:t>
      </w:r>
      <w:proofErr w:type="spellEnd"/>
      <w:r w:rsidRPr="00CE411B">
        <w:rPr>
          <w:b w:val="0"/>
          <w:bCs/>
          <w:color w:val="000000" w:themeColor="text1"/>
          <w:sz w:val="20"/>
          <w:szCs w:val="20"/>
        </w:rPr>
        <w:t xml:space="preserve"> otitis externa (NOE) is a severe, life threatening propagating osteomyelitis of the skull base that originates from a severe otitis externa. This rare condition may not be as uncommon as once understood. Epidemiologic data reveals an unexpected and drastic rise in the number of reported cases over the last 15 years. Using national data and published literature, we explore four theories behind the rise in incidence of this condition.</w:t>
      </w:r>
    </w:p>
    <w:p w14:paraId="0C71C4B5" w14:textId="77777777" w:rsidR="00CE411B" w:rsidRPr="00CE411B" w:rsidRDefault="00CE411B" w:rsidP="00CE411B">
      <w:pPr>
        <w:spacing w:line="360" w:lineRule="auto"/>
        <w:rPr>
          <w:bCs/>
          <w:color w:val="000000" w:themeColor="text1"/>
          <w:sz w:val="20"/>
          <w:szCs w:val="20"/>
        </w:rPr>
      </w:pPr>
    </w:p>
    <w:p w14:paraId="03940B48" w14:textId="77777777" w:rsidR="00CE411B" w:rsidRPr="00CE411B" w:rsidRDefault="00CE411B" w:rsidP="00CE411B">
      <w:pPr>
        <w:spacing w:line="360" w:lineRule="auto"/>
        <w:rPr>
          <w:bCs/>
          <w:color w:val="000000" w:themeColor="text1"/>
          <w:sz w:val="20"/>
          <w:szCs w:val="20"/>
        </w:rPr>
      </w:pPr>
      <w:r w:rsidRPr="00CE411B">
        <w:rPr>
          <w:b/>
          <w:color w:val="000000" w:themeColor="text1"/>
          <w:sz w:val="20"/>
          <w:szCs w:val="20"/>
        </w:rPr>
        <w:t>Methods:</w:t>
      </w:r>
      <w:r w:rsidRPr="00CE411B">
        <w:rPr>
          <w:bCs/>
          <w:color w:val="000000" w:themeColor="text1"/>
          <w:sz w:val="20"/>
          <w:szCs w:val="20"/>
        </w:rPr>
        <w:t xml:space="preserve">  A quantitative descriptive study was undertaken using epidemiological data obtained from the Hospital Episode Statistics (HES) database.  NOE cases reported between 2002 – 2017 were compiled and analyzed. Using these results and current evidence within the published literature, four theories were formulated and explored to explain the upward trend in incidence. </w:t>
      </w:r>
    </w:p>
    <w:p w14:paraId="61816D1F" w14:textId="77777777" w:rsidR="00CE411B" w:rsidRPr="00CE411B" w:rsidRDefault="00CE411B" w:rsidP="00CE411B">
      <w:pPr>
        <w:spacing w:line="360" w:lineRule="auto"/>
        <w:rPr>
          <w:bCs/>
          <w:color w:val="000000" w:themeColor="text1"/>
          <w:sz w:val="20"/>
          <w:szCs w:val="20"/>
        </w:rPr>
      </w:pPr>
    </w:p>
    <w:p w14:paraId="3D441F4B" w14:textId="77777777" w:rsidR="00CE411B" w:rsidRPr="00CE411B" w:rsidRDefault="00CE411B" w:rsidP="00CE411B">
      <w:pPr>
        <w:spacing w:line="360" w:lineRule="auto"/>
        <w:rPr>
          <w:bCs/>
          <w:color w:val="000000" w:themeColor="text1"/>
          <w:sz w:val="20"/>
          <w:szCs w:val="20"/>
        </w:rPr>
      </w:pPr>
      <w:r w:rsidRPr="00CE411B">
        <w:rPr>
          <w:b/>
          <w:color w:val="000000" w:themeColor="text1"/>
          <w:sz w:val="20"/>
          <w:szCs w:val="20"/>
        </w:rPr>
        <w:t>Results:</w:t>
      </w:r>
      <w:r w:rsidRPr="00CE411B">
        <w:rPr>
          <w:bCs/>
          <w:color w:val="000000" w:themeColor="text1"/>
          <w:sz w:val="20"/>
          <w:szCs w:val="20"/>
        </w:rPr>
        <w:t xml:space="preserve"> There were a total of 7,327 NOE cases reported within the 15-year time period. The majority of cases (60%) occurred in the elderly (Age 75+) with a 5:2 male predominance. Mean length of stay and mean total bed days were 16.3 and 5,019 days, respectively.</w:t>
      </w:r>
    </w:p>
    <w:p w14:paraId="07321539" w14:textId="77777777" w:rsidR="00CE411B" w:rsidRPr="00CE411B" w:rsidRDefault="00CE411B" w:rsidP="00CE411B">
      <w:pPr>
        <w:spacing w:line="360" w:lineRule="auto"/>
        <w:rPr>
          <w:bCs/>
          <w:color w:val="000000" w:themeColor="text1"/>
          <w:sz w:val="20"/>
          <w:szCs w:val="20"/>
        </w:rPr>
      </w:pPr>
    </w:p>
    <w:p w14:paraId="63A4E1D0" w14:textId="449ECBD3" w:rsidR="00CE411B" w:rsidRPr="00CE411B" w:rsidRDefault="00CE411B" w:rsidP="00CE411B">
      <w:pPr>
        <w:spacing w:line="360" w:lineRule="auto"/>
        <w:rPr>
          <w:b/>
          <w:color w:val="000000" w:themeColor="text1"/>
          <w:sz w:val="20"/>
          <w:szCs w:val="20"/>
        </w:rPr>
      </w:pPr>
      <w:r w:rsidRPr="00CE411B">
        <w:rPr>
          <w:b/>
          <w:color w:val="000000" w:themeColor="text1"/>
          <w:sz w:val="20"/>
          <w:szCs w:val="20"/>
        </w:rPr>
        <w:t>Discussion</w:t>
      </w:r>
      <w:r>
        <w:rPr>
          <w:b/>
          <w:color w:val="000000" w:themeColor="text1"/>
          <w:sz w:val="20"/>
          <w:szCs w:val="20"/>
        </w:rPr>
        <w:t xml:space="preserve">: </w:t>
      </w:r>
      <w:r w:rsidRPr="00CE411B">
        <w:rPr>
          <w:bCs/>
          <w:color w:val="000000" w:themeColor="text1"/>
          <w:sz w:val="20"/>
          <w:szCs w:val="20"/>
        </w:rPr>
        <w:t>The number of NOE cases has increased by more than 1000% within the 15-year time period, from 123 cases in 2002 to 1,405 in 2017.  We theorize that this increase maybe due to:</w:t>
      </w:r>
    </w:p>
    <w:p w14:paraId="4777DD87" w14:textId="77777777" w:rsidR="00CE411B" w:rsidRPr="00CE411B" w:rsidRDefault="00CE411B" w:rsidP="00CE411B">
      <w:pPr>
        <w:spacing w:line="360" w:lineRule="auto"/>
        <w:rPr>
          <w:bCs/>
          <w:color w:val="000000" w:themeColor="text1"/>
          <w:sz w:val="20"/>
          <w:szCs w:val="20"/>
        </w:rPr>
      </w:pPr>
      <w:r w:rsidRPr="00CE411B">
        <w:rPr>
          <w:bCs/>
          <w:color w:val="000000" w:themeColor="text1"/>
          <w:sz w:val="20"/>
          <w:szCs w:val="20"/>
        </w:rPr>
        <w:t>(1) the rising prevalence of diabetes</w:t>
      </w:r>
    </w:p>
    <w:p w14:paraId="5C7A4C46" w14:textId="77777777" w:rsidR="00CE411B" w:rsidRPr="00CE411B" w:rsidRDefault="00CE411B" w:rsidP="00CE411B">
      <w:pPr>
        <w:spacing w:line="360" w:lineRule="auto"/>
        <w:rPr>
          <w:bCs/>
          <w:color w:val="000000" w:themeColor="text1"/>
          <w:sz w:val="20"/>
          <w:szCs w:val="20"/>
        </w:rPr>
      </w:pPr>
      <w:r w:rsidRPr="00CE411B">
        <w:rPr>
          <w:bCs/>
          <w:color w:val="000000" w:themeColor="text1"/>
          <w:sz w:val="20"/>
          <w:szCs w:val="20"/>
        </w:rPr>
        <w:t>(2) the increase in antibiotic resistance</w:t>
      </w:r>
    </w:p>
    <w:p w14:paraId="5ACCF72A" w14:textId="77777777" w:rsidR="00CE411B" w:rsidRPr="00CE411B" w:rsidRDefault="00CE411B" w:rsidP="00CE411B">
      <w:pPr>
        <w:spacing w:line="360" w:lineRule="auto"/>
        <w:rPr>
          <w:bCs/>
          <w:color w:val="000000" w:themeColor="text1"/>
          <w:sz w:val="20"/>
          <w:szCs w:val="20"/>
        </w:rPr>
      </w:pPr>
      <w:r w:rsidRPr="00CE411B">
        <w:rPr>
          <w:bCs/>
          <w:color w:val="000000" w:themeColor="text1"/>
          <w:sz w:val="20"/>
          <w:szCs w:val="20"/>
        </w:rPr>
        <w:t>(3) the rising ageing population</w:t>
      </w:r>
    </w:p>
    <w:p w14:paraId="6065C88B" w14:textId="7DB342A0" w:rsidR="004A63DE" w:rsidRDefault="00CE411B" w:rsidP="00CE411B">
      <w:pPr>
        <w:spacing w:line="360" w:lineRule="auto"/>
        <w:rPr>
          <w:bCs/>
          <w:color w:val="000000" w:themeColor="text1"/>
          <w:sz w:val="20"/>
          <w:szCs w:val="20"/>
        </w:rPr>
      </w:pPr>
      <w:r w:rsidRPr="00CE411B">
        <w:rPr>
          <w:bCs/>
          <w:color w:val="000000" w:themeColor="text1"/>
          <w:sz w:val="20"/>
          <w:szCs w:val="20"/>
        </w:rPr>
        <w:t>(4) improved physician awareness of NOE</w:t>
      </w:r>
    </w:p>
    <w:p w14:paraId="610FE903" w14:textId="3A6AFFB7" w:rsidR="00F96460" w:rsidRDefault="00F96460">
      <w:pPr>
        <w:rPr>
          <w:bCs/>
          <w:color w:val="000000" w:themeColor="text1"/>
          <w:sz w:val="20"/>
          <w:szCs w:val="20"/>
        </w:rPr>
      </w:pPr>
      <w:r>
        <w:rPr>
          <w:bCs/>
          <w:color w:val="000000" w:themeColor="text1"/>
          <w:sz w:val="20"/>
          <w:szCs w:val="20"/>
        </w:rPr>
        <w:br w:type="page"/>
      </w:r>
    </w:p>
    <w:p w14:paraId="35E0F156" w14:textId="5B3D361B" w:rsidR="00F96460" w:rsidRDefault="00F96460" w:rsidP="00CE411B">
      <w:pPr>
        <w:spacing w:line="360" w:lineRule="auto"/>
        <w:rPr>
          <w:rFonts w:asciiTheme="majorHAnsi" w:hAnsiTheme="majorHAnsi" w:cstheme="majorHAnsi"/>
          <w:bCs/>
          <w:color w:val="000000" w:themeColor="text1"/>
          <w:sz w:val="20"/>
          <w:szCs w:val="20"/>
        </w:rPr>
      </w:pPr>
    </w:p>
    <w:p w14:paraId="77806F52" w14:textId="7055A707" w:rsidR="00F96460" w:rsidRPr="00F96460" w:rsidRDefault="00F96460" w:rsidP="00F96460">
      <w:pPr>
        <w:pStyle w:val="Heading2"/>
        <w:spacing w:line="360" w:lineRule="auto"/>
        <w:rPr>
          <w:bCs/>
          <w:color w:val="000000" w:themeColor="text1"/>
          <w:sz w:val="20"/>
          <w:szCs w:val="20"/>
        </w:rPr>
      </w:pPr>
      <w:r w:rsidRPr="00F96460">
        <w:rPr>
          <w:bCs/>
          <w:color w:val="000000" w:themeColor="text1"/>
          <w:sz w:val="20"/>
          <w:szCs w:val="20"/>
        </w:rPr>
        <w:t>Management of laryngeal dysplasia – A 3 cycle audit</w:t>
      </w:r>
    </w:p>
    <w:p w14:paraId="1775A81B" w14:textId="77777777" w:rsidR="00F96460" w:rsidRPr="00F96460" w:rsidRDefault="00F96460" w:rsidP="00F96460">
      <w:pPr>
        <w:spacing w:line="360" w:lineRule="auto"/>
        <w:rPr>
          <w:b/>
          <w:bCs/>
          <w:color w:val="000000" w:themeColor="text1"/>
          <w:sz w:val="20"/>
          <w:szCs w:val="20"/>
        </w:rPr>
      </w:pPr>
      <w:r w:rsidRPr="00F96460">
        <w:rPr>
          <w:b/>
          <w:bCs/>
          <w:color w:val="000000" w:themeColor="text1"/>
          <w:sz w:val="20"/>
          <w:szCs w:val="20"/>
        </w:rPr>
        <w:t>Sophie Rya</w:t>
      </w:r>
      <w:r w:rsidRPr="00F96460">
        <w:rPr>
          <w:b/>
          <w:bCs/>
          <w:color w:val="000000" w:themeColor="text1"/>
          <w:sz w:val="20"/>
          <w:szCs w:val="20"/>
        </w:rPr>
        <w:t>n</w:t>
      </w:r>
      <w:r w:rsidRPr="00F96460">
        <w:rPr>
          <w:b/>
          <w:bCs/>
          <w:color w:val="000000" w:themeColor="text1"/>
          <w:sz w:val="20"/>
          <w:szCs w:val="20"/>
        </w:rPr>
        <w:t>, ENT research fellow</w:t>
      </w:r>
    </w:p>
    <w:p w14:paraId="0BF61EF7" w14:textId="2B2A7921" w:rsidR="00F96460" w:rsidRPr="00F96460" w:rsidRDefault="00F96460" w:rsidP="00F96460">
      <w:pPr>
        <w:spacing w:line="360" w:lineRule="auto"/>
        <w:rPr>
          <w:b/>
          <w:bCs/>
          <w:color w:val="000000" w:themeColor="text1"/>
          <w:sz w:val="20"/>
          <w:szCs w:val="20"/>
        </w:rPr>
      </w:pPr>
      <w:r w:rsidRPr="00F96460">
        <w:rPr>
          <w:b/>
          <w:bCs/>
          <w:color w:val="000000" w:themeColor="text1"/>
          <w:sz w:val="20"/>
          <w:szCs w:val="20"/>
        </w:rPr>
        <w:t>James Cook University Hospital.</w:t>
      </w:r>
    </w:p>
    <w:p w14:paraId="20F5ACE2" w14:textId="77777777" w:rsidR="00F96460" w:rsidRPr="00F96460" w:rsidRDefault="00F96460" w:rsidP="00F96460">
      <w:pPr>
        <w:spacing w:line="360" w:lineRule="auto"/>
        <w:rPr>
          <w:color w:val="000000" w:themeColor="text1"/>
          <w:sz w:val="20"/>
          <w:szCs w:val="20"/>
        </w:rPr>
      </w:pPr>
    </w:p>
    <w:p w14:paraId="277916AF" w14:textId="687C3CD3" w:rsidR="00F96460" w:rsidRPr="00F96460" w:rsidRDefault="00F96460" w:rsidP="00F96460">
      <w:pPr>
        <w:pStyle w:val="Heading2"/>
        <w:spacing w:line="360" w:lineRule="auto"/>
        <w:rPr>
          <w:b w:val="0"/>
          <w:color w:val="000000" w:themeColor="text1"/>
          <w:sz w:val="20"/>
          <w:szCs w:val="20"/>
        </w:rPr>
      </w:pPr>
      <w:r w:rsidRPr="00F96460">
        <w:rPr>
          <w:bCs/>
          <w:color w:val="000000" w:themeColor="text1"/>
          <w:sz w:val="20"/>
          <w:szCs w:val="20"/>
        </w:rPr>
        <w:t>Introduction</w:t>
      </w:r>
      <w:r w:rsidRPr="00F96460">
        <w:rPr>
          <w:bCs/>
          <w:color w:val="000000" w:themeColor="text1"/>
          <w:sz w:val="20"/>
          <w:szCs w:val="20"/>
        </w:rPr>
        <w:t>:</w:t>
      </w:r>
      <w:r>
        <w:rPr>
          <w:b w:val="0"/>
          <w:color w:val="000000" w:themeColor="text1"/>
          <w:sz w:val="20"/>
          <w:szCs w:val="20"/>
        </w:rPr>
        <w:t xml:space="preserve"> </w:t>
      </w:r>
      <w:r w:rsidRPr="00F96460">
        <w:rPr>
          <w:b w:val="0"/>
          <w:color w:val="000000" w:themeColor="text1"/>
          <w:sz w:val="20"/>
          <w:szCs w:val="20"/>
        </w:rPr>
        <w:t>A consensus statement on management of laryngeal dysplasia was published in 2010 following a national workshop. Our preliminary retrospective audit of newly diagnosed patients identified over half of high-risk dysplasia patients had infrequent follow up and incomplete documentation when compared to standards agreed in the consensus statement. Subsequently we introduced a laryngeal dysplasia proforma for follow up appointments which saw marked improvement regarding follow up time and completion of recommended documentation.</w:t>
      </w:r>
    </w:p>
    <w:p w14:paraId="6B680ABE" w14:textId="77777777" w:rsidR="00F96460" w:rsidRPr="00F96460" w:rsidRDefault="00F96460" w:rsidP="00F96460">
      <w:pPr>
        <w:spacing w:line="360" w:lineRule="auto"/>
        <w:ind w:firstLine="720"/>
        <w:jc w:val="both"/>
        <w:rPr>
          <w:color w:val="000000" w:themeColor="text1"/>
          <w:sz w:val="20"/>
          <w:szCs w:val="20"/>
        </w:rPr>
      </w:pPr>
    </w:p>
    <w:p w14:paraId="3900AAE8" w14:textId="5978EC9E" w:rsidR="00F96460" w:rsidRPr="00F96460" w:rsidRDefault="00F96460" w:rsidP="00F96460">
      <w:pPr>
        <w:spacing w:line="360" w:lineRule="auto"/>
        <w:rPr>
          <w:color w:val="000000" w:themeColor="text1"/>
          <w:sz w:val="20"/>
          <w:szCs w:val="20"/>
        </w:rPr>
      </w:pPr>
      <w:r w:rsidRPr="00F96460">
        <w:rPr>
          <w:b/>
          <w:bCs/>
          <w:color w:val="000000" w:themeColor="text1"/>
          <w:sz w:val="20"/>
          <w:szCs w:val="20"/>
        </w:rPr>
        <w:t>Methods</w:t>
      </w:r>
      <w:r w:rsidRPr="00F96460">
        <w:rPr>
          <w:b/>
          <w:bCs/>
          <w:color w:val="000000" w:themeColor="text1"/>
          <w:sz w:val="20"/>
          <w:szCs w:val="20"/>
        </w:rPr>
        <w:t>:</w:t>
      </w:r>
      <w:r>
        <w:rPr>
          <w:color w:val="000000" w:themeColor="text1"/>
          <w:sz w:val="20"/>
          <w:szCs w:val="20"/>
        </w:rPr>
        <w:t xml:space="preserve"> </w:t>
      </w:r>
      <w:r w:rsidRPr="00F96460">
        <w:rPr>
          <w:color w:val="000000" w:themeColor="text1"/>
          <w:sz w:val="20"/>
          <w:szCs w:val="20"/>
        </w:rPr>
        <w:t xml:space="preserve">Following introduction of the dysplasia proforma a second retrospective audit of newly diagnosed patients was completed, over a </w:t>
      </w:r>
      <w:proofErr w:type="gramStart"/>
      <w:r w:rsidRPr="00F96460">
        <w:rPr>
          <w:color w:val="000000" w:themeColor="text1"/>
          <w:sz w:val="20"/>
          <w:szCs w:val="20"/>
        </w:rPr>
        <w:t>3 month</w:t>
      </w:r>
      <w:proofErr w:type="gramEnd"/>
      <w:r w:rsidRPr="00F96460">
        <w:rPr>
          <w:color w:val="000000" w:themeColor="text1"/>
          <w:sz w:val="20"/>
          <w:szCs w:val="20"/>
        </w:rPr>
        <w:t xml:space="preserve"> period in 2016, to compare adherence to recommended follow up; documentation of risk stratification; FNE findings and smoking status. The 3</w:t>
      </w:r>
      <w:r w:rsidRPr="00F96460">
        <w:rPr>
          <w:color w:val="000000" w:themeColor="text1"/>
          <w:sz w:val="20"/>
          <w:szCs w:val="20"/>
          <w:vertAlign w:val="superscript"/>
        </w:rPr>
        <w:t>rd</w:t>
      </w:r>
      <w:r w:rsidRPr="00F96460">
        <w:rPr>
          <w:color w:val="000000" w:themeColor="text1"/>
          <w:sz w:val="20"/>
          <w:szCs w:val="20"/>
        </w:rPr>
        <w:t xml:space="preserve"> cycle of the audit examined ongoing use of the proforma and adherence to these standards over last 3 follow up appointments in those same patients who were identified in cycle 2. </w:t>
      </w:r>
    </w:p>
    <w:p w14:paraId="21E7B64A" w14:textId="77777777" w:rsidR="00F96460" w:rsidRPr="00F96460" w:rsidRDefault="00F96460" w:rsidP="00F96460">
      <w:pPr>
        <w:spacing w:line="360" w:lineRule="auto"/>
        <w:jc w:val="both"/>
        <w:rPr>
          <w:color w:val="000000" w:themeColor="text1"/>
          <w:sz w:val="20"/>
          <w:szCs w:val="20"/>
        </w:rPr>
      </w:pPr>
    </w:p>
    <w:p w14:paraId="779EE537" w14:textId="53BCEA14" w:rsidR="00F96460" w:rsidRPr="00F96460" w:rsidRDefault="00F96460" w:rsidP="00F96460">
      <w:pPr>
        <w:spacing w:line="360" w:lineRule="auto"/>
        <w:rPr>
          <w:color w:val="000000" w:themeColor="text1"/>
          <w:sz w:val="20"/>
          <w:szCs w:val="20"/>
        </w:rPr>
      </w:pPr>
      <w:r w:rsidRPr="00F96460">
        <w:rPr>
          <w:b/>
          <w:bCs/>
          <w:color w:val="000000" w:themeColor="text1"/>
          <w:sz w:val="20"/>
          <w:szCs w:val="20"/>
        </w:rPr>
        <w:t>Results</w:t>
      </w:r>
      <w:r w:rsidRPr="00F96460">
        <w:rPr>
          <w:b/>
          <w:bCs/>
          <w:color w:val="000000" w:themeColor="text1"/>
          <w:sz w:val="20"/>
          <w:szCs w:val="20"/>
        </w:rPr>
        <w:t>:</w:t>
      </w:r>
      <w:r>
        <w:rPr>
          <w:color w:val="000000" w:themeColor="text1"/>
          <w:sz w:val="20"/>
          <w:szCs w:val="20"/>
        </w:rPr>
        <w:t xml:space="preserve"> </w:t>
      </w:r>
      <w:r w:rsidRPr="00F96460">
        <w:rPr>
          <w:color w:val="000000" w:themeColor="text1"/>
          <w:sz w:val="20"/>
          <w:szCs w:val="20"/>
        </w:rPr>
        <w:t>Following introduction of the proforma documentation of risk assessment rose from 8% to 72%; Drawing of FNE findings rose from 29% to 100% where proforma was used. Overall rates of infrequent follow up fell from 37% to 16.7% and 100% of follow up for those patients classified as high risk was within recommended timeframe.</w:t>
      </w:r>
    </w:p>
    <w:p w14:paraId="16E51A94" w14:textId="77777777" w:rsidR="00F96460" w:rsidRDefault="00F96460" w:rsidP="00F96460">
      <w:pPr>
        <w:spacing w:line="360" w:lineRule="auto"/>
        <w:rPr>
          <w:color w:val="000000" w:themeColor="text1"/>
          <w:sz w:val="20"/>
          <w:szCs w:val="20"/>
        </w:rPr>
      </w:pPr>
    </w:p>
    <w:p w14:paraId="565194BB" w14:textId="63DD0411" w:rsidR="00F96460" w:rsidRPr="00F96460" w:rsidRDefault="00F96460" w:rsidP="00F96460">
      <w:pPr>
        <w:spacing w:line="360" w:lineRule="auto"/>
        <w:rPr>
          <w:color w:val="000000" w:themeColor="text1"/>
          <w:sz w:val="20"/>
          <w:szCs w:val="20"/>
        </w:rPr>
      </w:pPr>
      <w:r w:rsidRPr="00F96460">
        <w:rPr>
          <w:b/>
          <w:bCs/>
          <w:color w:val="000000" w:themeColor="text1"/>
          <w:sz w:val="20"/>
          <w:szCs w:val="20"/>
        </w:rPr>
        <w:t>Discussion</w:t>
      </w:r>
      <w:r w:rsidRPr="00F96460">
        <w:rPr>
          <w:b/>
          <w:bCs/>
          <w:color w:val="000000" w:themeColor="text1"/>
          <w:sz w:val="20"/>
          <w:szCs w:val="20"/>
        </w:rPr>
        <w:t>:</w:t>
      </w:r>
      <w:r>
        <w:rPr>
          <w:color w:val="000000" w:themeColor="text1"/>
          <w:sz w:val="20"/>
          <w:szCs w:val="20"/>
        </w:rPr>
        <w:t xml:space="preserve"> </w:t>
      </w:r>
      <w:r w:rsidRPr="00F96460">
        <w:rPr>
          <w:color w:val="000000" w:themeColor="text1"/>
          <w:sz w:val="20"/>
          <w:szCs w:val="20"/>
        </w:rPr>
        <w:t>Although our audit was limited by attrition and small sample size it provides evidence that a standardized proforma for laryngeal dysplasia patients can help improve rates of appropriate follow up and documentation in accordance with the national consensus statement.</w:t>
      </w:r>
    </w:p>
    <w:sectPr w:rsidR="00F96460" w:rsidRPr="00F96460">
      <w:footerReference w:type="default" r:id="rId7"/>
      <w:pgSz w:w="12240" w:h="15840"/>
      <w:pgMar w:top="720" w:right="1440" w:bottom="180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840F7" w14:textId="77777777" w:rsidR="00AD1968" w:rsidRDefault="00AD1968">
      <w:r>
        <w:separator/>
      </w:r>
    </w:p>
    <w:p w14:paraId="1351030C" w14:textId="77777777" w:rsidR="00AD1968" w:rsidRDefault="00AD1968"/>
  </w:endnote>
  <w:endnote w:type="continuationSeparator" w:id="0">
    <w:p w14:paraId="4FE92136" w14:textId="77777777" w:rsidR="00AD1968" w:rsidRDefault="00AD1968">
      <w:r>
        <w:continuationSeparator/>
      </w:r>
    </w:p>
    <w:p w14:paraId="3DABF7AC" w14:textId="77777777" w:rsidR="00AD1968" w:rsidRDefault="00AD1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699706"/>
      <w:docPartObj>
        <w:docPartGallery w:val="Page Numbers (Bottom of Page)"/>
        <w:docPartUnique/>
      </w:docPartObj>
    </w:sdtPr>
    <w:sdtEndPr>
      <w:rPr>
        <w:noProof/>
      </w:rPr>
    </w:sdtEndPr>
    <w:sdtContent>
      <w:p w14:paraId="017EE220" w14:textId="77777777" w:rsidR="0094110B" w:rsidRDefault="00F61B1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0A1FF" w14:textId="77777777" w:rsidR="00AD1968" w:rsidRDefault="00AD1968">
      <w:r>
        <w:separator/>
      </w:r>
    </w:p>
    <w:p w14:paraId="0FA39246" w14:textId="77777777" w:rsidR="00AD1968" w:rsidRDefault="00AD1968"/>
  </w:footnote>
  <w:footnote w:type="continuationSeparator" w:id="0">
    <w:p w14:paraId="5E522CAA" w14:textId="77777777" w:rsidR="00AD1968" w:rsidRDefault="00AD1968">
      <w:r>
        <w:continuationSeparator/>
      </w:r>
    </w:p>
    <w:p w14:paraId="11885BF7" w14:textId="77777777" w:rsidR="00AD1968" w:rsidRDefault="00AD19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30A86D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1682D62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5A2BE1"/>
    <w:multiLevelType w:val="hybridMultilevel"/>
    <w:tmpl w:val="1158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06CDF"/>
    <w:multiLevelType w:val="hybridMultilevel"/>
    <w:tmpl w:val="9E244A1C"/>
    <w:lvl w:ilvl="0" w:tplc="A78AD9E8">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DB3D3F"/>
    <w:multiLevelType w:val="hybridMultilevel"/>
    <w:tmpl w:val="87D6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D60DB"/>
    <w:multiLevelType w:val="hybridMultilevel"/>
    <w:tmpl w:val="D9F4FE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AB4355"/>
    <w:multiLevelType w:val="hybridMultilevel"/>
    <w:tmpl w:val="0B203272"/>
    <w:lvl w:ilvl="0" w:tplc="CE0E85FE">
      <w:start w:val="1"/>
      <w:numFmt w:val="decimal"/>
      <w:pStyle w:val="ListNumber"/>
      <w:lvlText w:val="%1."/>
      <w:lvlJc w:val="left"/>
      <w:pPr>
        <w:tabs>
          <w:tab w:val="num" w:pos="432"/>
        </w:tabs>
        <w:ind w:left="432"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3"/>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2E"/>
    <w:rsid w:val="001A31D5"/>
    <w:rsid w:val="00350A6B"/>
    <w:rsid w:val="00476C91"/>
    <w:rsid w:val="004A63DE"/>
    <w:rsid w:val="004B4E2E"/>
    <w:rsid w:val="0051209F"/>
    <w:rsid w:val="00554505"/>
    <w:rsid w:val="00566CF6"/>
    <w:rsid w:val="00651324"/>
    <w:rsid w:val="00687CB5"/>
    <w:rsid w:val="006D10BA"/>
    <w:rsid w:val="006F52B0"/>
    <w:rsid w:val="00707A72"/>
    <w:rsid w:val="007638FD"/>
    <w:rsid w:val="00783648"/>
    <w:rsid w:val="00846FF3"/>
    <w:rsid w:val="0094110B"/>
    <w:rsid w:val="00A15FF5"/>
    <w:rsid w:val="00AD1968"/>
    <w:rsid w:val="00CD0C17"/>
    <w:rsid w:val="00CE411B"/>
    <w:rsid w:val="00DA6992"/>
    <w:rsid w:val="00E24C70"/>
    <w:rsid w:val="00F61B1F"/>
    <w:rsid w:val="00F96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64096"/>
  <w15:chartTrackingRefBased/>
  <w15:docId w15:val="{4DEEC55F-FACB-694C-A4F2-BF411647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30"/>
        <w:szCs w:val="30"/>
        <w:lang w:val="en-US" w:eastAsia="ja-JP" w:bidi="ar-SA"/>
      </w:rPr>
    </w:rPrDefault>
    <w:pPrDefault>
      <w:pPr>
        <w:spacing w:after="12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12" w:space="12" w:color="56152F" w:themeColor="accent4"/>
      </w:pBdr>
      <w:spacing w:before="460" w:after="480"/>
      <w:outlineLvl w:val="0"/>
    </w:pPr>
    <w:rPr>
      <w:rFonts w:asciiTheme="majorHAnsi" w:eastAsiaTheme="majorEastAsia" w:hAnsiTheme="majorHAnsi" w:cstheme="majorBidi"/>
      <w:color w:val="731C3F" w:themeColor="accent1"/>
      <w:sz w:val="40"/>
      <w:szCs w:val="32"/>
    </w:rPr>
  </w:style>
  <w:style w:type="paragraph" w:styleId="Heading2">
    <w:name w:val="heading 2"/>
    <w:basedOn w:val="Normal"/>
    <w:next w:val="Normal"/>
    <w:link w:val="Heading2Char"/>
    <w:uiPriority w:val="9"/>
    <w:unhideWhenUsed/>
    <w:qFormat/>
    <w:pPr>
      <w:keepNext/>
      <w:keepLines/>
      <w:spacing w:before="460"/>
      <w:outlineLvl w:val="1"/>
    </w:pPr>
    <w:rPr>
      <w:rFonts w:asciiTheme="majorHAnsi" w:eastAsiaTheme="majorEastAsia" w:hAnsiTheme="majorHAnsi" w:cstheme="majorBidi"/>
      <w:b/>
      <w:color w:val="7F7F7F" w:themeColor="text1" w:themeTint="8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3"/>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731C3F" w:themeColor="accent1"/>
      <w:sz w:val="40"/>
      <w:szCs w:val="32"/>
    </w:rPr>
  </w:style>
  <w:style w:type="paragraph" w:styleId="ListNumber">
    <w:name w:val="List Number"/>
    <w:basedOn w:val="Normal"/>
    <w:uiPriority w:val="9"/>
    <w:qFormat/>
    <w:pPr>
      <w:numPr>
        <w:numId w:val="4"/>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7F7F7F" w:themeColor="text1" w:themeTint="8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Pr>
      <w:color w:val="731C3F" w:themeColor="hyperlink"/>
      <w:u w:val="single"/>
    </w:rPr>
  </w:style>
  <w:style w:type="paragraph" w:styleId="ListParagraph">
    <w:name w:val="List Paragraph"/>
    <w:basedOn w:val="Normal"/>
    <w:uiPriority w:val="34"/>
    <w:unhideWhenUsed/>
    <w:qFormat/>
    <w:rsid w:val="0051209F"/>
    <w:pPr>
      <w:ind w:left="720"/>
      <w:contextualSpacing/>
    </w:pPr>
  </w:style>
  <w:style w:type="paragraph" w:styleId="NoSpacing">
    <w:name w:val="No Spacing"/>
    <w:uiPriority w:val="1"/>
    <w:qFormat/>
    <w:rsid w:val="004A63DE"/>
    <w:pPr>
      <w:spacing w:after="0" w:line="240" w:lineRule="auto"/>
    </w:pPr>
    <w:rPr>
      <w:color w:val="auto"/>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otes">
      <a:dk1>
        <a:sysClr val="windowText" lastClr="000000"/>
      </a:dk1>
      <a:lt1>
        <a:sysClr val="window" lastClr="FFFFFF"/>
      </a:lt1>
      <a:dk2>
        <a:srgbClr val="37030F"/>
      </a:dk2>
      <a:lt2>
        <a:srgbClr val="DEE4C3"/>
      </a:lt2>
      <a:accent1>
        <a:srgbClr val="731C3F"/>
      </a:accent1>
      <a:accent2>
        <a:srgbClr val="214C5E"/>
      </a:accent2>
      <a:accent3>
        <a:srgbClr val="62C7AD"/>
      </a:accent3>
      <a:accent4>
        <a:srgbClr val="56152F"/>
      </a:accent4>
      <a:accent5>
        <a:srgbClr val="D87330"/>
      </a:accent5>
      <a:accent6>
        <a:srgbClr val="DEBC53"/>
      </a:accent6>
      <a:hlink>
        <a:srgbClr val="731C3F"/>
      </a:hlink>
      <a:folHlink>
        <a:srgbClr val="214C5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Emma Stapleton</cp:lastModifiedBy>
  <cp:revision>8</cp:revision>
  <dcterms:created xsi:type="dcterms:W3CDTF">2019-10-13T20:07:00Z</dcterms:created>
  <dcterms:modified xsi:type="dcterms:W3CDTF">2019-10-13T20:20:00Z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TF10002051</vt:lpwstr>
  </property>
</Properties>
</file>